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979BF" w14:textId="77777777" w:rsidR="004A588E" w:rsidRPr="004A588E" w:rsidRDefault="004A588E" w:rsidP="004A588E">
      <w:pPr>
        <w:spacing w:line="480" w:lineRule="auto"/>
        <w:jc w:val="center"/>
        <w:rPr>
          <w:rFonts w:ascii="Times New Roman" w:eastAsia="Times New Roman" w:hAnsi="Times New Roman" w:cs="Times New Roman"/>
          <w:sz w:val="24"/>
          <w:szCs w:val="24"/>
          <w:lang/>
        </w:rPr>
      </w:pPr>
      <w:r w:rsidRPr="004A588E">
        <w:rPr>
          <w:rFonts w:ascii="Times New Roman" w:eastAsia="Times New Roman" w:hAnsi="Times New Roman" w:cs="Times New Roman"/>
          <w:b/>
          <w:bCs/>
          <w:color w:val="000000"/>
          <w:sz w:val="48"/>
          <w:szCs w:val="48"/>
          <w:lang/>
        </w:rPr>
        <w:t>Continuous quality improvement </w:t>
      </w:r>
    </w:p>
    <w:p w14:paraId="19A040F9" w14:textId="77777777" w:rsidR="004A588E" w:rsidRPr="004A588E" w:rsidRDefault="004A588E" w:rsidP="004A588E">
      <w:pPr>
        <w:spacing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b/>
          <w:bCs/>
          <w:color w:val="000000"/>
          <w:sz w:val="40"/>
          <w:szCs w:val="40"/>
          <w:lang/>
        </w:rPr>
        <w:t>Part A</w:t>
      </w:r>
    </w:p>
    <w:tbl>
      <w:tblPr>
        <w:tblW w:w="0" w:type="auto"/>
        <w:tblCellMar>
          <w:top w:w="15" w:type="dxa"/>
          <w:left w:w="15" w:type="dxa"/>
          <w:bottom w:w="15" w:type="dxa"/>
          <w:right w:w="15" w:type="dxa"/>
        </w:tblCellMar>
        <w:tblLook w:val="04A0" w:firstRow="1" w:lastRow="0" w:firstColumn="1" w:lastColumn="0" w:noHBand="0" w:noVBand="1"/>
      </w:tblPr>
      <w:tblGrid>
        <w:gridCol w:w="804"/>
        <w:gridCol w:w="8541"/>
      </w:tblGrid>
      <w:tr w:rsidR="004A588E" w:rsidRPr="004A588E" w14:paraId="17501475" w14:textId="77777777" w:rsidTr="004A588E">
        <w:trPr>
          <w:trHeight w:val="353"/>
        </w:trPr>
        <w:tc>
          <w:tcPr>
            <w:tcW w:w="0" w:type="auto"/>
            <w:gridSpan w:val="2"/>
            <w:tcBorders>
              <w:top w:val="single" w:sz="4" w:space="0" w:color="A6A6A6"/>
              <w:left w:val="single" w:sz="4" w:space="0" w:color="A6A6A6"/>
              <w:bottom w:val="single" w:sz="4" w:space="0" w:color="A6A6A6"/>
              <w:right w:val="single" w:sz="4" w:space="0" w:color="A6A6A6"/>
            </w:tcBorders>
            <w:tcMar>
              <w:top w:w="86" w:type="dxa"/>
              <w:left w:w="115" w:type="dxa"/>
              <w:bottom w:w="86" w:type="dxa"/>
              <w:right w:w="115" w:type="dxa"/>
            </w:tcMar>
            <w:hideMark/>
          </w:tcPr>
          <w:p w14:paraId="33E946DB" w14:textId="77777777" w:rsidR="004A588E" w:rsidRPr="004A588E" w:rsidRDefault="004A588E" w:rsidP="004A588E">
            <w:pPr>
              <w:spacing w:after="0" w:line="480" w:lineRule="auto"/>
              <w:jc w:val="center"/>
              <w:rPr>
                <w:rFonts w:ascii="Times New Roman" w:eastAsia="Times New Roman" w:hAnsi="Times New Roman" w:cs="Times New Roman"/>
                <w:sz w:val="24"/>
                <w:szCs w:val="24"/>
                <w:lang/>
              </w:rPr>
            </w:pPr>
            <w:r w:rsidRPr="004A588E">
              <w:rPr>
                <w:rFonts w:ascii="Times New Roman" w:eastAsia="Times New Roman" w:hAnsi="Times New Roman" w:cs="Times New Roman"/>
                <w:b/>
                <w:bCs/>
                <w:color w:val="000000"/>
                <w:sz w:val="24"/>
                <w:szCs w:val="24"/>
                <w:lang/>
              </w:rPr>
              <w:t>Continuous Quality Improvement in Health Care Timeline</w:t>
            </w:r>
          </w:p>
        </w:tc>
      </w:tr>
      <w:tr w:rsidR="004A588E" w:rsidRPr="004A588E" w14:paraId="3BFABD49" w14:textId="77777777" w:rsidTr="004A588E">
        <w:trPr>
          <w:trHeight w:val="291"/>
        </w:trPr>
        <w:tc>
          <w:tcPr>
            <w:tcW w:w="0" w:type="auto"/>
            <w:tcBorders>
              <w:top w:val="single" w:sz="4" w:space="0" w:color="A6A6A6"/>
              <w:left w:val="single" w:sz="4" w:space="0" w:color="A6A6A6"/>
              <w:bottom w:val="single" w:sz="4" w:space="0" w:color="A6A6A6"/>
              <w:right w:val="single" w:sz="4" w:space="0" w:color="A6A6A6"/>
            </w:tcBorders>
            <w:tcMar>
              <w:top w:w="86" w:type="dxa"/>
              <w:left w:w="115" w:type="dxa"/>
              <w:bottom w:w="86" w:type="dxa"/>
              <w:right w:w="115" w:type="dxa"/>
            </w:tcMar>
            <w:hideMark/>
          </w:tcPr>
          <w:p w14:paraId="762D7842" w14:textId="77777777" w:rsidR="004A588E" w:rsidRPr="004A588E" w:rsidRDefault="004A588E" w:rsidP="004A588E">
            <w:pPr>
              <w:spacing w:after="0"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b/>
                <w:bCs/>
                <w:color w:val="000000"/>
                <w:sz w:val="24"/>
                <w:szCs w:val="24"/>
                <w:lang/>
              </w:rPr>
              <w:t>Date</w:t>
            </w:r>
          </w:p>
        </w:tc>
        <w:tc>
          <w:tcPr>
            <w:tcW w:w="0" w:type="auto"/>
            <w:tcBorders>
              <w:top w:val="single" w:sz="4" w:space="0" w:color="A6A6A6"/>
              <w:left w:val="single" w:sz="4" w:space="0" w:color="A6A6A6"/>
              <w:bottom w:val="single" w:sz="4" w:space="0" w:color="A6A6A6"/>
              <w:right w:val="single" w:sz="4" w:space="0" w:color="A6A6A6"/>
            </w:tcBorders>
            <w:tcMar>
              <w:top w:w="86" w:type="dxa"/>
              <w:left w:w="115" w:type="dxa"/>
              <w:bottom w:w="86" w:type="dxa"/>
              <w:right w:w="115" w:type="dxa"/>
            </w:tcMar>
            <w:hideMark/>
          </w:tcPr>
          <w:p w14:paraId="496B7F2D" w14:textId="77777777" w:rsidR="004A588E" w:rsidRPr="004A588E" w:rsidRDefault="004A588E" w:rsidP="004A588E">
            <w:pPr>
              <w:spacing w:after="0"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b/>
                <w:bCs/>
                <w:color w:val="000000"/>
                <w:sz w:val="24"/>
                <w:szCs w:val="24"/>
                <w:lang/>
              </w:rPr>
              <w:t>Event and Significance</w:t>
            </w:r>
          </w:p>
        </w:tc>
      </w:tr>
      <w:tr w:rsidR="004A588E" w:rsidRPr="004A588E" w14:paraId="30EEFF38" w14:textId="77777777" w:rsidTr="004A588E">
        <w:trPr>
          <w:trHeight w:val="1058"/>
        </w:trPr>
        <w:tc>
          <w:tcPr>
            <w:tcW w:w="0" w:type="auto"/>
            <w:tcBorders>
              <w:top w:val="single" w:sz="4" w:space="0" w:color="A6A6A6"/>
              <w:left w:val="single" w:sz="4" w:space="0" w:color="A6A6A6"/>
              <w:bottom w:val="single" w:sz="4" w:space="0" w:color="A6A6A6"/>
              <w:right w:val="single" w:sz="4" w:space="0" w:color="A6A6A6"/>
            </w:tcBorders>
            <w:shd w:val="clear" w:color="auto" w:fill="FFFFFF"/>
            <w:tcMar>
              <w:top w:w="86" w:type="dxa"/>
              <w:left w:w="115" w:type="dxa"/>
              <w:bottom w:w="86" w:type="dxa"/>
              <w:right w:w="115" w:type="dxa"/>
            </w:tcMar>
            <w:hideMark/>
          </w:tcPr>
          <w:p w14:paraId="1D3C6E7E" w14:textId="77777777" w:rsidR="004A588E" w:rsidRPr="004A588E" w:rsidRDefault="004A588E" w:rsidP="004A588E">
            <w:pPr>
              <w:spacing w:after="0"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color w:val="000000"/>
                <w:sz w:val="24"/>
                <w:szCs w:val="24"/>
                <w:lang/>
              </w:rPr>
              <w:t>1950s</w:t>
            </w:r>
          </w:p>
        </w:tc>
        <w:tc>
          <w:tcPr>
            <w:tcW w:w="0" w:type="auto"/>
            <w:tcBorders>
              <w:top w:val="single" w:sz="4" w:space="0" w:color="A6A6A6"/>
              <w:left w:val="single" w:sz="4" w:space="0" w:color="A6A6A6"/>
              <w:bottom w:val="single" w:sz="4" w:space="0" w:color="A6A6A6"/>
              <w:right w:val="single" w:sz="4" w:space="0" w:color="A6A6A6"/>
            </w:tcBorders>
            <w:shd w:val="clear" w:color="auto" w:fill="FFFFFF"/>
            <w:tcMar>
              <w:top w:w="86" w:type="dxa"/>
              <w:left w:w="115" w:type="dxa"/>
              <w:bottom w:w="86" w:type="dxa"/>
              <w:right w:w="115" w:type="dxa"/>
            </w:tcMar>
            <w:hideMark/>
          </w:tcPr>
          <w:p w14:paraId="32678A80" w14:textId="77777777" w:rsidR="004A588E" w:rsidRPr="004A588E" w:rsidRDefault="004A588E" w:rsidP="004A588E">
            <w:pPr>
              <w:spacing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b/>
                <w:bCs/>
                <w:color w:val="000000"/>
                <w:sz w:val="24"/>
                <w:szCs w:val="24"/>
                <w:lang/>
              </w:rPr>
              <w:t>Nightingale evidence-based quality improvements</w:t>
            </w:r>
          </w:p>
          <w:p w14:paraId="49392937" w14:textId="77777777" w:rsidR="004A588E" w:rsidRPr="004A588E" w:rsidRDefault="004A588E" w:rsidP="004A588E">
            <w:pPr>
              <w:spacing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color w:val="000000"/>
                <w:sz w:val="24"/>
                <w:szCs w:val="24"/>
                <w:lang/>
              </w:rPr>
              <w:t>With the British troops perishing because of cholera and other diseases in their fight with the Russians, Florence Nightingale’s interventions reduced the mortality rate down to 2.2% from 42.7% (Sheingold and Hahn, 2014). This was a milestone in health care quality improvement as Nightingale use of evidence-based scenarios were benchmarked for future nursing practices (Marjoua and Bozic, 2012). Florence sought to reduce overcrowding in healthcare organizations as beds were now spaced three feet apart, sufficient ventilation was provided, remove Calvary horses as well as assuring sewers were, and latrines were also appropriately disinfected.  Nightingale use of statistical tools was key to the modern-day use of statistics for quality improvement (Sheingold and Hahn, 2014).</w:t>
            </w:r>
          </w:p>
        </w:tc>
      </w:tr>
      <w:tr w:rsidR="004A588E" w:rsidRPr="004A588E" w14:paraId="42841FF3" w14:textId="77777777" w:rsidTr="004A588E">
        <w:trPr>
          <w:trHeight w:val="362"/>
        </w:trPr>
        <w:tc>
          <w:tcPr>
            <w:tcW w:w="0" w:type="auto"/>
            <w:tcBorders>
              <w:top w:val="single" w:sz="4" w:space="0" w:color="A6A6A6"/>
              <w:left w:val="single" w:sz="4" w:space="0" w:color="A6A6A6"/>
              <w:bottom w:val="single" w:sz="4" w:space="0" w:color="A6A6A6"/>
              <w:right w:val="single" w:sz="4" w:space="0" w:color="A6A6A6"/>
            </w:tcBorders>
            <w:shd w:val="clear" w:color="auto" w:fill="FFFFFF"/>
            <w:tcMar>
              <w:top w:w="86" w:type="dxa"/>
              <w:left w:w="115" w:type="dxa"/>
              <w:bottom w:w="86" w:type="dxa"/>
              <w:right w:w="115" w:type="dxa"/>
            </w:tcMar>
            <w:hideMark/>
          </w:tcPr>
          <w:p w14:paraId="5BC1D1D2" w14:textId="77777777" w:rsidR="004A588E" w:rsidRPr="004A588E" w:rsidRDefault="004A588E" w:rsidP="004A588E">
            <w:pPr>
              <w:spacing w:after="0"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color w:val="000000"/>
                <w:sz w:val="24"/>
                <w:szCs w:val="24"/>
                <w:lang/>
              </w:rPr>
              <w:t>1960s</w:t>
            </w:r>
          </w:p>
        </w:tc>
        <w:tc>
          <w:tcPr>
            <w:tcW w:w="0" w:type="auto"/>
            <w:tcBorders>
              <w:top w:val="single" w:sz="4" w:space="0" w:color="A6A6A6"/>
              <w:left w:val="single" w:sz="4" w:space="0" w:color="A6A6A6"/>
              <w:bottom w:val="single" w:sz="4" w:space="0" w:color="A6A6A6"/>
              <w:right w:val="single" w:sz="4" w:space="0" w:color="A6A6A6"/>
            </w:tcBorders>
            <w:shd w:val="clear" w:color="auto" w:fill="FFFFFF"/>
            <w:tcMar>
              <w:top w:w="86" w:type="dxa"/>
              <w:left w:w="115" w:type="dxa"/>
              <w:bottom w:w="86" w:type="dxa"/>
              <w:right w:w="115" w:type="dxa"/>
            </w:tcMar>
            <w:hideMark/>
          </w:tcPr>
          <w:p w14:paraId="359B5442" w14:textId="77777777" w:rsidR="004A588E" w:rsidRPr="004A588E" w:rsidRDefault="004A588E" w:rsidP="004A588E">
            <w:pPr>
              <w:spacing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b/>
                <w:bCs/>
                <w:color w:val="000000"/>
                <w:sz w:val="24"/>
                <w:szCs w:val="24"/>
                <w:lang/>
              </w:rPr>
              <w:t>Medicare and Medicaid programs</w:t>
            </w:r>
          </w:p>
          <w:p w14:paraId="22FC4231" w14:textId="77777777" w:rsidR="004A588E" w:rsidRPr="004A588E" w:rsidRDefault="004A588E" w:rsidP="004A588E">
            <w:pPr>
              <w:spacing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color w:val="000000"/>
                <w:sz w:val="24"/>
                <w:szCs w:val="24"/>
                <w:lang/>
              </w:rPr>
              <w:t xml:space="preserve">These programs were passed into law by the then President Lyndon B Johnson. Medicaid programs were instated as a result of the lack of enough medical welfare care that was to be of great importance to public assistance. Initially known as the Social Security Act, Medicare programs were developed to provide health insurance for older individuals and the disabled, from the age of sixty-five and above (Marjoua </w:t>
            </w:r>
            <w:r w:rsidRPr="004A588E">
              <w:rPr>
                <w:rFonts w:ascii="Times New Roman" w:eastAsia="Times New Roman" w:hAnsi="Times New Roman" w:cs="Times New Roman"/>
                <w:color w:val="000000"/>
                <w:sz w:val="24"/>
                <w:szCs w:val="24"/>
                <w:lang/>
              </w:rPr>
              <w:lastRenderedPageBreak/>
              <w:t>and Bozic, 2012). These programs initiated this category to be provided with necessary health care insurance and supplementary medical insurance (Key Milestones in Medicare and Medicaid History, Selected Years: 1965-2003, 2005). The prerequisites to participation were laid out in the rules set by the Congress. This was another crucial in enhancing the quality of care in the healthcare through the provision of comprehensive, low-cost insurance to the majority of the Americans who could not afford it.</w:t>
            </w:r>
          </w:p>
        </w:tc>
      </w:tr>
      <w:tr w:rsidR="004A588E" w:rsidRPr="004A588E" w14:paraId="3847AE07" w14:textId="77777777" w:rsidTr="004A588E">
        <w:trPr>
          <w:trHeight w:val="329"/>
        </w:trPr>
        <w:tc>
          <w:tcPr>
            <w:tcW w:w="0" w:type="auto"/>
            <w:tcBorders>
              <w:top w:val="single" w:sz="4" w:space="0" w:color="A6A6A6"/>
              <w:left w:val="single" w:sz="4" w:space="0" w:color="A6A6A6"/>
              <w:bottom w:val="single" w:sz="4" w:space="0" w:color="A6A6A6"/>
              <w:right w:val="single" w:sz="4" w:space="0" w:color="A6A6A6"/>
            </w:tcBorders>
            <w:shd w:val="clear" w:color="auto" w:fill="FFFFFF"/>
            <w:tcMar>
              <w:top w:w="86" w:type="dxa"/>
              <w:left w:w="115" w:type="dxa"/>
              <w:bottom w:w="86" w:type="dxa"/>
              <w:right w:w="115" w:type="dxa"/>
            </w:tcMar>
            <w:hideMark/>
          </w:tcPr>
          <w:p w14:paraId="61CA986C" w14:textId="77777777" w:rsidR="004A588E" w:rsidRPr="004A588E" w:rsidRDefault="004A588E" w:rsidP="004A588E">
            <w:pPr>
              <w:spacing w:after="0"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color w:val="000000"/>
                <w:sz w:val="24"/>
                <w:szCs w:val="24"/>
                <w:lang/>
              </w:rPr>
              <w:lastRenderedPageBreak/>
              <w:t>1990s</w:t>
            </w:r>
          </w:p>
        </w:tc>
        <w:tc>
          <w:tcPr>
            <w:tcW w:w="0" w:type="auto"/>
            <w:tcBorders>
              <w:top w:val="single" w:sz="4" w:space="0" w:color="A6A6A6"/>
              <w:left w:val="single" w:sz="4" w:space="0" w:color="A6A6A6"/>
              <w:bottom w:val="single" w:sz="4" w:space="0" w:color="A6A6A6"/>
              <w:right w:val="single" w:sz="4" w:space="0" w:color="A6A6A6"/>
            </w:tcBorders>
            <w:shd w:val="clear" w:color="auto" w:fill="FFFFFF"/>
            <w:tcMar>
              <w:top w:w="86" w:type="dxa"/>
              <w:left w:w="115" w:type="dxa"/>
              <w:bottom w:w="86" w:type="dxa"/>
              <w:right w:w="115" w:type="dxa"/>
            </w:tcMar>
            <w:hideMark/>
          </w:tcPr>
          <w:p w14:paraId="34465DB2" w14:textId="77777777" w:rsidR="004A588E" w:rsidRPr="004A588E" w:rsidRDefault="004A588E" w:rsidP="004A588E">
            <w:pPr>
              <w:spacing w:after="0"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b/>
                <w:bCs/>
                <w:color w:val="000000"/>
                <w:sz w:val="24"/>
                <w:szCs w:val="24"/>
                <w:lang/>
              </w:rPr>
              <w:t>Health Security Act and the State Children’s Health Insurance Program</w:t>
            </w:r>
          </w:p>
          <w:p w14:paraId="0A85562D" w14:textId="77777777" w:rsidR="004A588E" w:rsidRPr="004A588E" w:rsidRDefault="004A588E" w:rsidP="004A588E">
            <w:pPr>
              <w:spacing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color w:val="000000"/>
                <w:sz w:val="24"/>
                <w:szCs w:val="24"/>
                <w:lang/>
              </w:rPr>
              <w:t>This period brought HMO's as well as improved healthcare proposals, which enhanced earlier programs such as COBRA in addition to the Americans with Disability Act. This period had precedent proposals aimed for a broader reworking for a comprehensive health care system, with President Clinton proposing the universal health care plan. This was referred to as Health Security Act on official cases. While this legislation fuelled controversy from the Republicans, it gave rise to the State Children's Health Insurance Program which further broadened coverage of healthcare to kids in families that couldn’t afford the earlier Medicaid (Key Milestones in Medicare and Medicaid History, 2005). These changes are considered milestones as they resulted in many low-income families accessing quality care. Also, significant changes regarding the Medicaid program were instated. This enhanced how quality care was afforded to children that had previously lacked in their low-income families. </w:t>
            </w:r>
          </w:p>
        </w:tc>
      </w:tr>
      <w:tr w:rsidR="004A588E" w:rsidRPr="004A588E" w14:paraId="67AC69AA" w14:textId="77777777" w:rsidTr="004A588E">
        <w:trPr>
          <w:trHeight w:val="329"/>
        </w:trPr>
        <w:tc>
          <w:tcPr>
            <w:tcW w:w="0" w:type="auto"/>
            <w:tcBorders>
              <w:top w:val="single" w:sz="4" w:space="0" w:color="A6A6A6"/>
              <w:left w:val="single" w:sz="4" w:space="0" w:color="A6A6A6"/>
              <w:bottom w:val="single" w:sz="4" w:space="0" w:color="A6A6A6"/>
              <w:right w:val="single" w:sz="4" w:space="0" w:color="A6A6A6"/>
            </w:tcBorders>
            <w:shd w:val="clear" w:color="auto" w:fill="FFFFFF"/>
            <w:tcMar>
              <w:top w:w="86" w:type="dxa"/>
              <w:left w:w="115" w:type="dxa"/>
              <w:bottom w:w="86" w:type="dxa"/>
              <w:right w:w="115" w:type="dxa"/>
            </w:tcMar>
            <w:hideMark/>
          </w:tcPr>
          <w:p w14:paraId="30EC066E" w14:textId="77777777" w:rsidR="004A588E" w:rsidRPr="004A588E" w:rsidRDefault="004A588E" w:rsidP="004A588E">
            <w:pPr>
              <w:spacing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color w:val="000000"/>
                <w:sz w:val="24"/>
                <w:szCs w:val="24"/>
                <w:lang/>
              </w:rPr>
              <w:t>2000s</w:t>
            </w:r>
          </w:p>
          <w:p w14:paraId="69BF732A" w14:textId="77777777" w:rsidR="004A588E" w:rsidRPr="004A588E" w:rsidRDefault="004A588E" w:rsidP="004A588E">
            <w:pPr>
              <w:spacing w:after="0" w:line="240" w:lineRule="auto"/>
              <w:rPr>
                <w:rFonts w:ascii="Times New Roman" w:eastAsia="Times New Roman" w:hAnsi="Times New Roman" w:cs="Times New Roman"/>
                <w:sz w:val="24"/>
                <w:szCs w:val="24"/>
                <w:lang/>
              </w:rPr>
            </w:pPr>
          </w:p>
        </w:tc>
        <w:tc>
          <w:tcPr>
            <w:tcW w:w="0" w:type="auto"/>
            <w:tcBorders>
              <w:top w:val="single" w:sz="4" w:space="0" w:color="A6A6A6"/>
              <w:left w:val="single" w:sz="4" w:space="0" w:color="A6A6A6"/>
              <w:bottom w:val="single" w:sz="4" w:space="0" w:color="A6A6A6"/>
              <w:right w:val="single" w:sz="4" w:space="0" w:color="A6A6A6"/>
            </w:tcBorders>
            <w:shd w:val="clear" w:color="auto" w:fill="FFFFFF"/>
            <w:tcMar>
              <w:top w:w="86" w:type="dxa"/>
              <w:left w:w="115" w:type="dxa"/>
              <w:bottom w:w="86" w:type="dxa"/>
              <w:right w:w="115" w:type="dxa"/>
            </w:tcMar>
            <w:hideMark/>
          </w:tcPr>
          <w:p w14:paraId="70B1FDDA" w14:textId="77777777" w:rsidR="004A588E" w:rsidRPr="004A588E" w:rsidRDefault="004A588E" w:rsidP="004A588E">
            <w:pPr>
              <w:spacing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b/>
                <w:bCs/>
                <w:color w:val="000000"/>
                <w:sz w:val="24"/>
                <w:szCs w:val="24"/>
                <w:lang/>
              </w:rPr>
              <w:t>Medicare Modernization Act and the Affordable Care Act</w:t>
            </w:r>
          </w:p>
          <w:p w14:paraId="77648E1A" w14:textId="77777777" w:rsidR="004A588E" w:rsidRPr="004A588E" w:rsidRDefault="004A588E" w:rsidP="004A588E">
            <w:pPr>
              <w:spacing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color w:val="000000"/>
                <w:sz w:val="24"/>
                <w:szCs w:val="24"/>
                <w:lang/>
              </w:rPr>
              <w:t xml:space="preserve">This period saw another milestone in improving health care with President Bush signing the Medicare Modernization Act (MMM), and it included a prescription drug advantage (Key Milestones in Medicare and Medicaid History, 2005). However, this </w:t>
            </w:r>
            <w:r w:rsidRPr="004A588E">
              <w:rPr>
                <w:rFonts w:ascii="Times New Roman" w:eastAsia="Times New Roman" w:hAnsi="Times New Roman" w:cs="Times New Roman"/>
                <w:color w:val="000000"/>
                <w:sz w:val="24"/>
                <w:szCs w:val="24"/>
                <w:lang/>
              </w:rPr>
              <w:lastRenderedPageBreak/>
              <w:t>bill was criticized for its complicated funding as well as subsidies to private insurers. Further, this period witnessed another milestone in improving the quality of care when President Obama approved into law the Affordable Care Act.  This allowed for the establishment of health insurance reforms such as insurance marketplaces, free preventive care with coverage. The effect of these was to provide care to more people, increase research for conditions that could enhance the provision of care. Additionally, it led to the growth of Medicaid programs, and it further eliminated lifetime limits on insurance coverage.</w:t>
            </w:r>
          </w:p>
        </w:tc>
      </w:tr>
    </w:tbl>
    <w:p w14:paraId="5C5E8017" w14:textId="77777777" w:rsidR="004A588E" w:rsidRPr="004A588E" w:rsidRDefault="004A588E" w:rsidP="004A588E">
      <w:pPr>
        <w:spacing w:after="0" w:line="240" w:lineRule="auto"/>
        <w:rPr>
          <w:rFonts w:ascii="Times New Roman" w:eastAsia="Times New Roman" w:hAnsi="Times New Roman" w:cs="Times New Roman"/>
          <w:sz w:val="24"/>
          <w:szCs w:val="24"/>
          <w:lang/>
        </w:rPr>
      </w:pPr>
    </w:p>
    <w:p w14:paraId="3064CA53" w14:textId="77777777" w:rsidR="004A588E" w:rsidRPr="004A588E" w:rsidRDefault="004A588E" w:rsidP="004A588E">
      <w:pPr>
        <w:spacing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b/>
          <w:bCs/>
          <w:color w:val="000000"/>
          <w:sz w:val="40"/>
          <w:szCs w:val="40"/>
          <w:lang/>
        </w:rPr>
        <w:t>Part B</w:t>
      </w:r>
    </w:p>
    <w:p w14:paraId="25B28F12" w14:textId="77777777" w:rsidR="004A588E" w:rsidRPr="004A588E" w:rsidRDefault="004A588E" w:rsidP="004A588E">
      <w:pPr>
        <w:spacing w:line="480" w:lineRule="auto"/>
        <w:ind w:firstLine="720"/>
        <w:rPr>
          <w:rFonts w:ascii="Times New Roman" w:eastAsia="Times New Roman" w:hAnsi="Times New Roman" w:cs="Times New Roman"/>
          <w:sz w:val="24"/>
          <w:szCs w:val="24"/>
          <w:lang/>
        </w:rPr>
      </w:pPr>
      <w:r w:rsidRPr="004A588E">
        <w:rPr>
          <w:rFonts w:ascii="Times New Roman" w:eastAsia="Times New Roman" w:hAnsi="Times New Roman" w:cs="Times New Roman"/>
          <w:color w:val="000000"/>
          <w:sz w:val="24"/>
          <w:szCs w:val="24"/>
          <w:lang/>
        </w:rPr>
        <w:t>The outcomes of these ensured continuous quality improvement through gauging on present quality of care and comparing it with past practices. While challenging are observable with these reforms, they have been used as a benchmark for today's nursing practices. For instance, Nightingale use of quality statistics and assessment methods have been much employed in modern nursing. Also, these events have shaped how modern nurses are required to document and present clinical information in an ideal way. From Nightingale methods to Medicare and Medicaid programs, nurses have been required to show excellent care provision, hence passing this information to other nurses through organizational learning.  Moreover, nurses have continually reworked the events processes to ensure persistent quality improvement (Sollecito, McLaughlin and Kaluzny, 2014).</w:t>
      </w:r>
    </w:p>
    <w:p w14:paraId="4E2772DD" w14:textId="77777777" w:rsidR="004A588E" w:rsidRPr="004A588E" w:rsidRDefault="004A588E" w:rsidP="004A588E">
      <w:pPr>
        <w:spacing w:line="480" w:lineRule="auto"/>
        <w:rPr>
          <w:rFonts w:ascii="Times New Roman" w:eastAsia="Times New Roman" w:hAnsi="Times New Roman" w:cs="Times New Roman"/>
          <w:sz w:val="24"/>
          <w:szCs w:val="24"/>
          <w:lang/>
        </w:rPr>
      </w:pPr>
      <w:r w:rsidRPr="004A588E">
        <w:rPr>
          <w:rFonts w:ascii="Times New Roman" w:eastAsia="Times New Roman" w:hAnsi="Times New Roman" w:cs="Times New Roman"/>
          <w:b/>
          <w:bCs/>
          <w:color w:val="000000"/>
          <w:sz w:val="40"/>
          <w:szCs w:val="40"/>
          <w:lang/>
        </w:rPr>
        <w:t>References </w:t>
      </w:r>
    </w:p>
    <w:p w14:paraId="5A6E7382" w14:textId="77777777" w:rsidR="004A588E" w:rsidRPr="004A588E" w:rsidRDefault="004A588E" w:rsidP="004A588E">
      <w:pPr>
        <w:spacing w:line="480" w:lineRule="auto"/>
        <w:ind w:firstLine="992"/>
        <w:rPr>
          <w:rFonts w:ascii="Times New Roman" w:eastAsia="Times New Roman" w:hAnsi="Times New Roman" w:cs="Times New Roman"/>
          <w:sz w:val="24"/>
          <w:szCs w:val="24"/>
          <w:lang/>
        </w:rPr>
      </w:pPr>
      <w:r w:rsidRPr="004A588E">
        <w:rPr>
          <w:rFonts w:ascii="Times New Roman" w:eastAsia="Times New Roman" w:hAnsi="Times New Roman" w:cs="Times New Roman"/>
          <w:color w:val="000000"/>
          <w:sz w:val="24"/>
          <w:szCs w:val="24"/>
          <w:lang/>
        </w:rPr>
        <w:t xml:space="preserve">Key Milestones in Medicare and Medicaid History, Selected Years: 1965-2003. (2005). </w:t>
      </w:r>
      <w:r w:rsidRPr="004A588E">
        <w:rPr>
          <w:rFonts w:ascii="Times New Roman" w:eastAsia="Times New Roman" w:hAnsi="Times New Roman" w:cs="Times New Roman"/>
          <w:i/>
          <w:iCs/>
          <w:color w:val="000000"/>
          <w:sz w:val="24"/>
          <w:szCs w:val="24"/>
          <w:lang/>
        </w:rPr>
        <w:t>Health Care Financing Review</w:t>
      </w:r>
      <w:r w:rsidRPr="004A588E">
        <w:rPr>
          <w:rFonts w:ascii="Times New Roman" w:eastAsia="Times New Roman" w:hAnsi="Times New Roman" w:cs="Times New Roman"/>
          <w:color w:val="000000"/>
          <w:sz w:val="24"/>
          <w:szCs w:val="24"/>
          <w:lang/>
        </w:rPr>
        <w:t>, 27(2), 1–3.</w:t>
      </w:r>
    </w:p>
    <w:p w14:paraId="5A52194B" w14:textId="77777777" w:rsidR="004A588E" w:rsidRPr="004A588E" w:rsidRDefault="004A588E" w:rsidP="004A588E">
      <w:pPr>
        <w:spacing w:line="480" w:lineRule="auto"/>
        <w:ind w:firstLine="992"/>
        <w:rPr>
          <w:rFonts w:ascii="Times New Roman" w:eastAsia="Times New Roman" w:hAnsi="Times New Roman" w:cs="Times New Roman"/>
          <w:sz w:val="24"/>
          <w:szCs w:val="24"/>
          <w:lang/>
        </w:rPr>
      </w:pPr>
      <w:r w:rsidRPr="004A588E">
        <w:rPr>
          <w:rFonts w:ascii="Times New Roman" w:eastAsia="Times New Roman" w:hAnsi="Times New Roman" w:cs="Times New Roman"/>
          <w:color w:val="000000"/>
          <w:sz w:val="24"/>
          <w:szCs w:val="24"/>
          <w:lang/>
        </w:rPr>
        <w:lastRenderedPageBreak/>
        <w:t xml:space="preserve">Marjoua, Y., &amp; Bozic, K. J. (2012). Brief history of quality movement in US healthcare. </w:t>
      </w:r>
      <w:r w:rsidRPr="004A588E">
        <w:rPr>
          <w:rFonts w:ascii="Times New Roman" w:eastAsia="Times New Roman" w:hAnsi="Times New Roman" w:cs="Times New Roman"/>
          <w:i/>
          <w:iCs/>
          <w:color w:val="000000"/>
          <w:sz w:val="24"/>
          <w:szCs w:val="24"/>
          <w:lang/>
        </w:rPr>
        <w:t>Current Reviews in Musculoskeletal Medicine,</w:t>
      </w:r>
      <w:r w:rsidRPr="004A588E">
        <w:rPr>
          <w:rFonts w:ascii="Times New Roman" w:eastAsia="Times New Roman" w:hAnsi="Times New Roman" w:cs="Times New Roman"/>
          <w:color w:val="000000"/>
          <w:sz w:val="24"/>
          <w:szCs w:val="24"/>
          <w:lang/>
        </w:rPr>
        <w:t xml:space="preserve"> </w:t>
      </w:r>
      <w:r w:rsidRPr="004A588E">
        <w:rPr>
          <w:rFonts w:ascii="Times New Roman" w:eastAsia="Times New Roman" w:hAnsi="Times New Roman" w:cs="Times New Roman"/>
          <w:i/>
          <w:iCs/>
          <w:color w:val="000000"/>
          <w:sz w:val="24"/>
          <w:szCs w:val="24"/>
          <w:lang/>
        </w:rPr>
        <w:t>5</w:t>
      </w:r>
      <w:r w:rsidRPr="004A588E">
        <w:rPr>
          <w:rFonts w:ascii="Times New Roman" w:eastAsia="Times New Roman" w:hAnsi="Times New Roman" w:cs="Times New Roman"/>
          <w:color w:val="000000"/>
          <w:sz w:val="24"/>
          <w:szCs w:val="24"/>
          <w:lang/>
        </w:rPr>
        <w:t>(4), 265-273. doi:10.1007/s12178-012-9137-8</w:t>
      </w:r>
    </w:p>
    <w:p w14:paraId="1AA12EA3" w14:textId="77777777" w:rsidR="004A588E" w:rsidRPr="004A588E" w:rsidRDefault="004A588E" w:rsidP="004A588E">
      <w:pPr>
        <w:spacing w:line="480" w:lineRule="auto"/>
        <w:ind w:firstLine="992"/>
        <w:rPr>
          <w:rFonts w:ascii="Times New Roman" w:eastAsia="Times New Roman" w:hAnsi="Times New Roman" w:cs="Times New Roman"/>
          <w:sz w:val="24"/>
          <w:szCs w:val="24"/>
          <w:lang/>
        </w:rPr>
      </w:pPr>
      <w:r w:rsidRPr="004A588E">
        <w:rPr>
          <w:rFonts w:ascii="Times New Roman" w:eastAsia="Times New Roman" w:hAnsi="Times New Roman" w:cs="Times New Roman"/>
          <w:color w:val="000000"/>
          <w:sz w:val="24"/>
          <w:szCs w:val="24"/>
          <w:lang/>
        </w:rPr>
        <w:t xml:space="preserve">Sheingold, B. H., &amp; Hahn, J. A. (2014). The history of healthcare quality: The first 100 years 1860–1960. </w:t>
      </w:r>
      <w:r w:rsidRPr="004A588E">
        <w:rPr>
          <w:rFonts w:ascii="Times New Roman" w:eastAsia="Times New Roman" w:hAnsi="Times New Roman" w:cs="Times New Roman"/>
          <w:i/>
          <w:iCs/>
          <w:color w:val="000000"/>
          <w:sz w:val="24"/>
          <w:szCs w:val="24"/>
          <w:lang/>
        </w:rPr>
        <w:t>International Journal of Africa Nursing Sciences,</w:t>
      </w:r>
      <w:r w:rsidRPr="004A588E">
        <w:rPr>
          <w:rFonts w:ascii="Times New Roman" w:eastAsia="Times New Roman" w:hAnsi="Times New Roman" w:cs="Times New Roman"/>
          <w:color w:val="000000"/>
          <w:sz w:val="24"/>
          <w:szCs w:val="24"/>
          <w:lang/>
        </w:rPr>
        <w:t xml:space="preserve"> </w:t>
      </w:r>
      <w:r w:rsidRPr="004A588E">
        <w:rPr>
          <w:rFonts w:ascii="Times New Roman" w:eastAsia="Times New Roman" w:hAnsi="Times New Roman" w:cs="Times New Roman"/>
          <w:i/>
          <w:iCs/>
          <w:color w:val="000000"/>
          <w:sz w:val="24"/>
          <w:szCs w:val="24"/>
          <w:lang/>
        </w:rPr>
        <w:t>1</w:t>
      </w:r>
      <w:r w:rsidRPr="004A588E">
        <w:rPr>
          <w:rFonts w:ascii="Times New Roman" w:eastAsia="Times New Roman" w:hAnsi="Times New Roman" w:cs="Times New Roman"/>
          <w:color w:val="000000"/>
          <w:sz w:val="24"/>
          <w:szCs w:val="24"/>
          <w:lang/>
        </w:rPr>
        <w:t>, 18-22. doi:10.1016/j.ijans.2014.05.002</w:t>
      </w:r>
    </w:p>
    <w:p w14:paraId="3486D545" w14:textId="77777777" w:rsidR="004A588E" w:rsidRPr="004A588E" w:rsidRDefault="004A588E" w:rsidP="004A588E">
      <w:pPr>
        <w:spacing w:line="480" w:lineRule="auto"/>
        <w:ind w:firstLine="992"/>
        <w:rPr>
          <w:rFonts w:ascii="Times New Roman" w:eastAsia="Times New Roman" w:hAnsi="Times New Roman" w:cs="Times New Roman"/>
          <w:sz w:val="24"/>
          <w:szCs w:val="24"/>
          <w:lang/>
        </w:rPr>
      </w:pPr>
      <w:r w:rsidRPr="004A588E">
        <w:rPr>
          <w:rFonts w:ascii="Times New Roman" w:eastAsia="Times New Roman" w:hAnsi="Times New Roman" w:cs="Times New Roman"/>
          <w:color w:val="000000"/>
          <w:sz w:val="24"/>
          <w:szCs w:val="24"/>
          <w:lang/>
        </w:rPr>
        <w:t xml:space="preserve">Sollecito, W. A., McLaughlin, C. P., &amp; Kaluzny, A. D. (2014). </w:t>
      </w:r>
      <w:r w:rsidRPr="004A588E">
        <w:rPr>
          <w:rFonts w:ascii="Times New Roman" w:eastAsia="Times New Roman" w:hAnsi="Times New Roman" w:cs="Times New Roman"/>
          <w:i/>
          <w:iCs/>
          <w:color w:val="000000"/>
          <w:sz w:val="24"/>
          <w:szCs w:val="24"/>
          <w:lang/>
        </w:rPr>
        <w:t>McLaughlin and Kaluznys continuous quality improvement in health care</w:t>
      </w:r>
      <w:r w:rsidRPr="004A588E">
        <w:rPr>
          <w:rFonts w:ascii="Times New Roman" w:eastAsia="Times New Roman" w:hAnsi="Times New Roman" w:cs="Times New Roman"/>
          <w:color w:val="000000"/>
          <w:sz w:val="24"/>
          <w:szCs w:val="24"/>
          <w:lang/>
        </w:rPr>
        <w:t xml:space="preserve"> (4th ed.). Burlington, Mass: Jones &amp; Bartlett Learning.</w:t>
      </w:r>
    </w:p>
    <w:p w14:paraId="2B14B535" w14:textId="77777777" w:rsidR="006C221E" w:rsidRDefault="006C221E"/>
    <w:sectPr w:rsidR="006C2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EB"/>
    <w:rsid w:val="004A588E"/>
    <w:rsid w:val="006C221E"/>
    <w:rsid w:val="00772A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DFAE4-1B90-4787-84EA-D7B651A3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588E"/>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13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2024-07-25T09:46:00Z</dcterms:created>
  <dcterms:modified xsi:type="dcterms:W3CDTF">2024-07-25T09:46:00Z</dcterms:modified>
</cp:coreProperties>
</file>