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84EFA" w14:textId="77777777" w:rsidR="00E950E4" w:rsidRDefault="00E950E4" w:rsidP="00E950E4">
      <w:pPr>
        <w:pStyle w:val="a3"/>
        <w:spacing w:before="0" w:beforeAutospacing="0" w:after="0" w:afterAutospacing="0" w:line="480" w:lineRule="auto"/>
        <w:jc w:val="center"/>
        <w:rPr>
          <w:lang/>
        </w:rPr>
      </w:pPr>
      <w:r>
        <w:rPr>
          <w:b/>
          <w:bCs/>
          <w:color w:val="000000"/>
          <w:sz w:val="48"/>
          <w:szCs w:val="48"/>
        </w:rPr>
        <w:t>Health Case Study</w:t>
      </w:r>
    </w:p>
    <w:p w14:paraId="55EAAF33"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Provision of medical care is influenced by a myriad of internal and external factors. As such, terminally ill patients have to grapple with an avenue whereby the choices they make shapes the trajectory of their medical treatment process. Further, the socio-cultural environment has the potential to influence the medical treatment process. From complementary and Alternative Medical (CAM) practices to western medicine, the prospect of conflicts of interests or beliefs is bound to prevail in accessing palliative care. Therefore, this paper will examine the various aspects of medical treatment as per the case questions. </w:t>
      </w:r>
    </w:p>
    <w:p w14:paraId="27502453" w14:textId="77777777" w:rsidR="00E950E4" w:rsidRDefault="00E950E4" w:rsidP="00E950E4">
      <w:pPr>
        <w:pStyle w:val="a3"/>
        <w:spacing w:before="0" w:beforeAutospacing="0" w:after="160" w:afterAutospacing="0" w:line="480" w:lineRule="auto"/>
      </w:pPr>
      <w:r>
        <w:rPr>
          <w:b/>
          <w:bCs/>
          <w:color w:val="000000"/>
          <w:sz w:val="40"/>
          <w:szCs w:val="40"/>
        </w:rPr>
        <w:t>Current Research, Practices for the End of Life, Palliative Care and the Complementary and Alternative Medicine Perspectives</w:t>
      </w:r>
    </w:p>
    <w:p w14:paraId="488E541A" w14:textId="77777777" w:rsidR="00E950E4" w:rsidRDefault="00E950E4" w:rsidP="00E950E4">
      <w:pPr>
        <w:pStyle w:val="a3"/>
        <w:spacing w:before="0" w:beforeAutospacing="0" w:after="160" w:afterAutospacing="0" w:line="480" w:lineRule="auto"/>
        <w:ind w:firstLine="720"/>
      </w:pPr>
      <w:r>
        <w:rPr>
          <w:color w:val="000000"/>
        </w:rPr>
        <w:t xml:space="preserve">Palliative care, also known as comfort care, has become a movement across the US that is garnering popularity in the recent years. In the contemporary environment, hospitals have been developing comfort coupled with pain management programs that focus on supporting the notion of minimization of pain with emphasis on the maximization of comfort for patients </w:t>
      </w:r>
      <w:r>
        <w:rPr>
          <w:color w:val="222222"/>
          <w:shd w:val="clear" w:color="auto" w:fill="FFFFFF"/>
        </w:rPr>
        <w:t>(Armenakis &amp; Kiefer, 2014)</w:t>
      </w:r>
      <w:r>
        <w:rPr>
          <w:color w:val="000000"/>
        </w:rPr>
        <w:t xml:space="preserve">. As such, the use of various medications has been evident in the provision of palliative care (Ventola, 2010). Apart from the western medicine, the advent of alternative coupled with complementary medicine has become evident. As well, alternative medicine denotes the description of any form of medical treatment coupled with an intervention that is not documented or identified as being safe or effective. Nonetheless, from the evaluation of Ella, the alternative therapies can entail acupuncture, guided imagery, hypnosis, biofeedback coupled with relaxation. On the other hand, complimentary alternative medication (CAM) denotes a new approach towards the treatment process that entails a combination of scientific medicine with the </w:t>
      </w:r>
      <w:r>
        <w:rPr>
          <w:color w:val="000000"/>
        </w:rPr>
        <w:lastRenderedPageBreak/>
        <w:t>complementary therapies. Through the approach, there prevails the combination of approaches such as acupuncture to delivery western medicine to specific parts of the body. In the recent years, the appreciation of CAM has been because of the need for personal control coupled with dissatisfaction with the conventional medical care. </w:t>
      </w:r>
    </w:p>
    <w:p w14:paraId="173D3C05" w14:textId="77777777" w:rsidR="00E950E4" w:rsidRDefault="00E950E4" w:rsidP="00E950E4">
      <w:pPr>
        <w:pStyle w:val="a3"/>
        <w:spacing w:before="0" w:beforeAutospacing="0" w:after="160" w:afterAutospacing="0" w:line="480" w:lineRule="auto"/>
      </w:pPr>
      <w:r>
        <w:rPr>
          <w:b/>
          <w:bCs/>
          <w:color w:val="000000"/>
          <w:sz w:val="40"/>
          <w:szCs w:val="40"/>
        </w:rPr>
        <w:t>Cultural and Traditional Issues</w:t>
      </w:r>
    </w:p>
    <w:p w14:paraId="233445BD" w14:textId="77777777" w:rsidR="00E950E4" w:rsidRDefault="00E950E4" w:rsidP="00E950E4">
      <w:pPr>
        <w:pStyle w:val="a3"/>
        <w:spacing w:before="0" w:beforeAutospacing="0" w:after="160" w:afterAutospacing="0" w:line="480" w:lineRule="auto"/>
        <w:ind w:firstLine="360"/>
      </w:pPr>
      <w:r>
        <w:rPr>
          <w:color w:val="000000"/>
        </w:rPr>
        <w:t>Traditional issues are bound to come up extensively with the progression of Ella's cancer. Brought up in a traditional society that believes considerably on the need to conform to the traditions, it is evident that she may resort to sticking to her traditional medicine. Of utmost concern is her husband, John who is a staunch believer in Native American traditions. Being brought up in a society that believes in the traditions, the influence of the husband on Ella may translate into preference of certain acts such as banishing of evil spirits coupled with meditation as alternative medication as opposed to sticking to contemporary forms of medication. Consequently, among the traditional issues that may further emerge include:</w:t>
      </w:r>
    </w:p>
    <w:p w14:paraId="276426CC" w14:textId="77777777" w:rsidR="00E950E4" w:rsidRDefault="00E950E4" w:rsidP="00E950E4">
      <w:pPr>
        <w:pStyle w:val="a3"/>
        <w:numPr>
          <w:ilvl w:val="0"/>
          <w:numId w:val="28"/>
        </w:numPr>
        <w:spacing w:before="0" w:beforeAutospacing="0" w:after="0" w:afterAutospacing="0" w:line="480" w:lineRule="auto"/>
        <w:textAlignment w:val="baseline"/>
        <w:rPr>
          <w:color w:val="000000"/>
        </w:rPr>
      </w:pPr>
      <w:r>
        <w:rPr>
          <w:color w:val="000000"/>
        </w:rPr>
        <w:t>Beliefs of both Ella’s Spanish heritage and Native American emphasis on the sanctity of life </w:t>
      </w:r>
    </w:p>
    <w:p w14:paraId="4831305B" w14:textId="77777777" w:rsidR="00E950E4" w:rsidRDefault="00E950E4" w:rsidP="00E950E4">
      <w:pPr>
        <w:pStyle w:val="a3"/>
        <w:numPr>
          <w:ilvl w:val="0"/>
          <w:numId w:val="28"/>
        </w:numPr>
        <w:spacing w:before="0" w:beforeAutospacing="0" w:after="0" w:afterAutospacing="0" w:line="480" w:lineRule="auto"/>
        <w:textAlignment w:val="baseline"/>
        <w:rPr>
          <w:color w:val="000000"/>
        </w:rPr>
      </w:pPr>
      <w:r>
        <w:rPr>
          <w:color w:val="000000"/>
        </w:rPr>
        <w:t>Conflict between Ella’s family and their business partners Maldonado on their option to stick to traditional medicines as opposed to seeking western medicine</w:t>
      </w:r>
    </w:p>
    <w:p w14:paraId="22190181" w14:textId="77777777" w:rsidR="00E950E4" w:rsidRDefault="00E950E4" w:rsidP="00E950E4">
      <w:pPr>
        <w:pStyle w:val="a3"/>
        <w:numPr>
          <w:ilvl w:val="0"/>
          <w:numId w:val="28"/>
        </w:numPr>
        <w:spacing w:before="0" w:beforeAutospacing="0" w:after="200" w:afterAutospacing="0" w:line="480" w:lineRule="auto"/>
        <w:textAlignment w:val="baseline"/>
        <w:rPr>
          <w:color w:val="000000"/>
        </w:rPr>
      </w:pPr>
      <w:r>
        <w:rPr>
          <w:color w:val="000000"/>
        </w:rPr>
        <w:t>Conflicts of interests among the involved parties about the traditional medication which may translate into litigation</w:t>
      </w:r>
    </w:p>
    <w:p w14:paraId="345B81AA" w14:textId="77777777" w:rsidR="00E950E4" w:rsidRDefault="00E950E4" w:rsidP="00E950E4"/>
    <w:p w14:paraId="358A1B65" w14:textId="77777777" w:rsidR="00E950E4" w:rsidRDefault="00E950E4" w:rsidP="00E950E4">
      <w:pPr>
        <w:pStyle w:val="a3"/>
        <w:spacing w:before="0" w:beforeAutospacing="0" w:after="160" w:afterAutospacing="0" w:line="480" w:lineRule="auto"/>
      </w:pPr>
      <w:r>
        <w:rPr>
          <w:b/>
          <w:bCs/>
          <w:color w:val="000000"/>
          <w:sz w:val="40"/>
          <w:szCs w:val="40"/>
        </w:rPr>
        <w:t>Integration of Complementary and Alternative Medicine and Beliefs, Mainstream Medical Practices, and Cultural/Traditional Rituals and Practices</w:t>
      </w:r>
    </w:p>
    <w:p w14:paraId="0E49B3DB" w14:textId="77777777" w:rsidR="00E950E4" w:rsidRDefault="00E950E4" w:rsidP="00E950E4">
      <w:pPr>
        <w:pStyle w:val="a3"/>
        <w:spacing w:before="0" w:beforeAutospacing="0" w:after="160" w:afterAutospacing="0" w:line="480" w:lineRule="auto"/>
      </w:pPr>
      <w:r>
        <w:rPr>
          <w:rStyle w:val="apple-tab-span"/>
          <w:color w:val="000000"/>
        </w:rPr>
        <w:lastRenderedPageBreak/>
        <w:tab/>
      </w:r>
      <w:r>
        <w:rPr>
          <w:color w:val="000000"/>
        </w:rPr>
        <w:t xml:space="preserve">Legal issues are of utmost concern in the integration of CAM, mainstream medical practices with traditional rituals. As per </w:t>
      </w:r>
      <w:r>
        <w:rPr>
          <w:color w:val="222222"/>
          <w:shd w:val="clear" w:color="auto" w:fill="FFFFFF"/>
        </w:rPr>
        <w:t>Armenakis and Kiefer, (2014),</w:t>
      </w:r>
      <w:r>
        <w:rPr>
          <w:color w:val="000000"/>
        </w:rPr>
        <w:t xml:space="preserve"> in the current legal system, there prevail various issues that are still unresolved that are inclusive of provider oversight, inconsistency in the legislative mandate. Further, regarding the inconsistent legislative mandate, Haliko et al. (2017) emphasize that there is the need for the definition of standards of care, the scope of practice and liability issues for the users of the CAM, traditional practices with mainstream medical practices. For the healthcare providers, it is imperative to comprehend that failure to poses a license is an issue of concern. Consequently, without a license, integration of western medicine practices with CAM or traditional medicine opens up the potential for litigation. Across America, the regulation is adamant towards ensuring that no integration of the various treatment options prevails since it can translate into negative results that will be daunting to determine which treatment option led to the adverse outcomes. </w:t>
      </w:r>
    </w:p>
    <w:p w14:paraId="3C859AF2" w14:textId="77777777" w:rsidR="00E950E4" w:rsidRDefault="00E950E4" w:rsidP="00E950E4">
      <w:pPr>
        <w:pStyle w:val="a3"/>
        <w:spacing w:before="0" w:beforeAutospacing="0" w:after="160" w:afterAutospacing="0" w:line="480" w:lineRule="auto"/>
      </w:pPr>
      <w:r>
        <w:rPr>
          <w:b/>
          <w:bCs/>
          <w:color w:val="000000"/>
          <w:sz w:val="40"/>
          <w:szCs w:val="40"/>
        </w:rPr>
        <w:t>Scenarios</w:t>
      </w:r>
    </w:p>
    <w:p w14:paraId="6C960D34" w14:textId="77777777" w:rsidR="00E950E4" w:rsidRDefault="00E950E4" w:rsidP="00E950E4">
      <w:pPr>
        <w:pStyle w:val="a3"/>
        <w:spacing w:before="0" w:beforeAutospacing="0" w:after="160" w:afterAutospacing="0" w:line="480" w:lineRule="auto"/>
      </w:pPr>
      <w:r>
        <w:rPr>
          <w:b/>
          <w:bCs/>
          <w:color w:val="000000"/>
          <w:sz w:val="40"/>
          <w:szCs w:val="40"/>
        </w:rPr>
        <w:t>Ella Wishes to Continue the Complementary and Alternative Practices</w:t>
      </w:r>
    </w:p>
    <w:p w14:paraId="5385752E"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John, Ella’s husband, will agree with the CAM practices. As an individual whose life has been influenced by both traditions and mainstream practices, he seems open to the option. On the other hand, Lila, their daughter will not accept the use of CAM. As such, the use of the mainstream medicine such as insulin to manage her diabetes is a revelation that CAM is not effective. Further, Al, the husband of Lila will be not being in support due to his considerable fear of both hospitals and funeral homes. Al equally may believe in CAM due to the prospect that he has no health issues. </w:t>
      </w:r>
      <w:r>
        <w:rPr>
          <w:color w:val="000000"/>
        </w:rPr>
        <w:br/>
      </w:r>
      <w:r>
        <w:rPr>
          <w:b/>
          <w:bCs/>
          <w:color w:val="000000"/>
          <w:sz w:val="40"/>
          <w:szCs w:val="40"/>
        </w:rPr>
        <w:lastRenderedPageBreak/>
        <w:t>Ella Is Coerced Into Following Mainstream Medical Advice</w:t>
      </w:r>
    </w:p>
    <w:p w14:paraId="41ED5820"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Lila will react positively to the option of mainstream medication since she is proof if its effectiveness. Accordingly, it is through mainstream medication that Lila is currently managing both her stress and weight. On the other hand, AL, as mentioned, has a fear of healthcare organizations hence will not be positive about opting for mainstream medical practices. John, the husband, will be accommodative to the western mainstream practices.</w:t>
      </w:r>
      <w:r>
        <w:rPr>
          <w:color w:val="000000"/>
        </w:rPr>
        <w:br/>
      </w:r>
      <w:r>
        <w:rPr>
          <w:b/>
          <w:bCs/>
          <w:color w:val="000000"/>
          <w:sz w:val="40"/>
          <w:szCs w:val="40"/>
        </w:rPr>
        <w:t>Ella’s husband, John, insists that, as father and husband, his family traditions should be followed</w:t>
      </w:r>
    </w:p>
    <w:p w14:paraId="495AAB7A" w14:textId="77777777" w:rsidR="00E950E4" w:rsidRDefault="00E950E4" w:rsidP="00E950E4">
      <w:pPr>
        <w:pStyle w:val="a3"/>
        <w:spacing w:before="0" w:beforeAutospacing="0" w:after="160" w:afterAutospacing="0" w:line="480" w:lineRule="auto"/>
      </w:pPr>
      <w:r>
        <w:rPr>
          <w:color w:val="000000"/>
        </w:rPr>
        <w:t>The significant backlash will be evident in the instance that they focus on traditions. Native American traditions are based on banishing evil and traditional medicine which are not tested nor registered by the government (</w:t>
      </w:r>
      <w:r>
        <w:rPr>
          <w:color w:val="222222"/>
          <w:shd w:val="clear" w:color="auto" w:fill="FFFFFF"/>
        </w:rPr>
        <w:t>McClain, Rosenfield &amp; Breitbart, 2003)</w:t>
      </w:r>
      <w:r>
        <w:rPr>
          <w:color w:val="000000"/>
        </w:rPr>
        <w:t>. Hence, Lila and Al may opt out of the option due to both personal and cultural beliefs. Further, John will be jeopardizing his career as an attorney for opting for the option which could further lead to conflicts in the family. </w:t>
      </w:r>
    </w:p>
    <w:p w14:paraId="367137B8" w14:textId="77777777" w:rsidR="00E950E4" w:rsidRDefault="00E950E4" w:rsidP="00E950E4">
      <w:pPr>
        <w:pStyle w:val="a3"/>
        <w:spacing w:before="0" w:beforeAutospacing="0" w:after="160" w:afterAutospacing="0" w:line="480" w:lineRule="auto"/>
      </w:pPr>
      <w:r>
        <w:rPr>
          <w:b/>
          <w:bCs/>
          <w:color w:val="000000"/>
          <w:sz w:val="40"/>
          <w:szCs w:val="40"/>
        </w:rPr>
        <w:t>Examining the Biological Basis for Care</w:t>
      </w:r>
    </w:p>
    <w:p w14:paraId="307363DD" w14:textId="77777777" w:rsidR="00E950E4" w:rsidRDefault="00E950E4" w:rsidP="00E950E4">
      <w:pPr>
        <w:pStyle w:val="a3"/>
        <w:spacing w:before="0" w:beforeAutospacing="0" w:after="160" w:afterAutospacing="0" w:line="480" w:lineRule="auto"/>
      </w:pPr>
      <w:r>
        <w:rPr>
          <w:b/>
          <w:bCs/>
          <w:color w:val="000000"/>
          <w:sz w:val="40"/>
          <w:szCs w:val="40"/>
        </w:rPr>
        <w:t>Son Sam, the Alcoholic</w:t>
      </w:r>
    </w:p>
    <w:p w14:paraId="55CADCD7"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Sam will have to grapple with the need to take care of both his mother and himself. Consequently, the need to take care of his mother can lead to financial hurdles. In the end, Sam may be rendered disadvantaged due to the need for both rehabilitation and payment for Ella’s </w:t>
      </w:r>
      <w:r>
        <w:rPr>
          <w:color w:val="000000"/>
        </w:rPr>
        <w:lastRenderedPageBreak/>
        <w:t xml:space="preserve">long-term care. </w:t>
      </w:r>
      <w:r>
        <w:rPr>
          <w:color w:val="000000"/>
        </w:rPr>
        <w:br/>
      </w:r>
      <w:r>
        <w:rPr>
          <w:b/>
          <w:bCs/>
          <w:color w:val="000000"/>
          <w:sz w:val="40"/>
          <w:szCs w:val="40"/>
        </w:rPr>
        <w:t>Daughter Lila, with Type II Diabetes</w:t>
      </w:r>
    </w:p>
    <w:p w14:paraId="62870FDA"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The health state of Lila denotes that she is in need of medical care. Constant access to insulin translates into an increased strain on the finances.  Of utmost concern is the increase in stress due to her mother's admission to long-term care which could further increase the severity of her diabetes. </w:t>
      </w:r>
      <w:r>
        <w:rPr>
          <w:color w:val="000000"/>
        </w:rPr>
        <w:br/>
      </w:r>
      <w:r>
        <w:rPr>
          <w:b/>
          <w:bCs/>
          <w:color w:val="000000"/>
          <w:sz w:val="40"/>
          <w:szCs w:val="40"/>
        </w:rPr>
        <w:t>Grandson Josh, Starting To Have Drug Problems</w:t>
      </w:r>
    </w:p>
    <w:p w14:paraId="7277FFAD"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The drug problems of Josh are facets of concern. Of utmost importance are the implications on the family in regards to the need for constant care. Consequently, because of the long-term care, the grandson may be side-lined by the family.  </w:t>
      </w:r>
    </w:p>
    <w:p w14:paraId="009875C1" w14:textId="77777777" w:rsidR="00E950E4" w:rsidRDefault="00E950E4" w:rsidP="00E950E4">
      <w:pPr>
        <w:pStyle w:val="a3"/>
        <w:spacing w:before="0" w:beforeAutospacing="0" w:after="160" w:afterAutospacing="0" w:line="480" w:lineRule="auto"/>
      </w:pPr>
      <w:r>
        <w:rPr>
          <w:b/>
          <w:bCs/>
          <w:color w:val="000000"/>
          <w:sz w:val="40"/>
          <w:szCs w:val="40"/>
        </w:rPr>
        <w:t>Granddaughter Lucy, Bipolar With More Entrenched Drug Problems</w:t>
      </w:r>
    </w:p>
    <w:p w14:paraId="73EA21C9"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The granddaughter Lucy requires constant care. Attention should be undivided in the management of her state. Nonetheless, with the need for long-term care for her grandmother, the prospect of being sidelined can prevail. </w:t>
      </w:r>
      <w:r>
        <w:rPr>
          <w:color w:val="000000"/>
        </w:rPr>
        <w:br/>
      </w:r>
      <w:r>
        <w:rPr>
          <w:b/>
          <w:bCs/>
          <w:color w:val="000000"/>
          <w:sz w:val="40"/>
          <w:szCs w:val="40"/>
        </w:rPr>
        <w:t>Daughter-In-Law, Sarah’s Stress Related To Her Family’s Medical Issues (Son With Leukemia And Brother With HIV)</w:t>
      </w:r>
    </w:p>
    <w:p w14:paraId="781F1075" w14:textId="77777777" w:rsidR="00E950E4" w:rsidRDefault="00E950E4" w:rsidP="00E950E4">
      <w:pPr>
        <w:pStyle w:val="a3"/>
        <w:spacing w:before="0" w:beforeAutospacing="0" w:after="160" w:afterAutospacing="0" w:line="480" w:lineRule="auto"/>
        <w:ind w:firstLine="720"/>
      </w:pPr>
      <w:r>
        <w:rPr>
          <w:color w:val="000000"/>
        </w:rPr>
        <w:t xml:space="preserve">Daughter in law’s stress related to the family and medical issues are bound to impact on the family considerably. With the father considering the family as all crazy, it is imperative to </w:t>
      </w:r>
      <w:r>
        <w:rPr>
          <w:color w:val="000000"/>
        </w:rPr>
        <w:lastRenderedPageBreak/>
        <w:t xml:space="preserve">examine the biological perspective. Hence, biological factors could translate into genetic discourses on such ailments coupled with cancer as being hereditary which could translate to the children of the family being equally affected. </w:t>
      </w:r>
      <w:r>
        <w:rPr>
          <w:color w:val="000000"/>
        </w:rPr>
        <w:br/>
      </w:r>
      <w:r>
        <w:rPr>
          <w:color w:val="000000"/>
        </w:rPr>
        <w:br/>
      </w:r>
      <w:r>
        <w:rPr>
          <w:b/>
          <w:bCs/>
          <w:color w:val="000000"/>
          <w:sz w:val="40"/>
          <w:szCs w:val="40"/>
        </w:rPr>
        <w:t>The Micro, Meso, and Macro Influences Affecting both the Patient and the Diverse Family Members</w:t>
      </w:r>
    </w:p>
    <w:p w14:paraId="5AC74838"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Micro-level practices as per Haliko, et al., (2017) focus on the individual interacting with the client. On an individual basis, the micro level intervention can denote ca nurse resident interacting with a client at home. Alternatively, it can denote a social worker offering services to a client at a mental or home facility. As per </w:t>
      </w:r>
      <w:r>
        <w:rPr>
          <w:color w:val="222222"/>
          <w:shd w:val="clear" w:color="auto" w:fill="FFFFFF"/>
        </w:rPr>
        <w:t>Broom &amp; Kirby, (2013)</w:t>
      </w:r>
      <w:r>
        <w:rPr>
          <w:color w:val="000000"/>
        </w:rPr>
        <w:t xml:space="preserve"> meso level intervention denotes bringing people together who may not be couples or family members but may benefit from social or resource network. Accordingly, meso level denotes a direct change of the system that affects a client such as neighborhood or estate is bound to prevail. An example of a meso level intervention denotes group counseling, self-help groups or community associations.  As per diverse pundits, macro-level makes an emphasis on systemic issues. It is inclusive of creation and maintenance of a network of service providers for the establishment of a continuum of care. Therefore, the macro level intervention can translate into the intersection with the political realm through the creation and lobby for the adoption of policy changes. In the planning implementation and coordination of social programs, the prospect of macro scale activities is evident. The coordination of numerous services coupled with policy work generates an avenue towards addressing the health or social issues.  </w:t>
      </w:r>
    </w:p>
    <w:p w14:paraId="2A2A85F4" w14:textId="77777777" w:rsidR="00E950E4" w:rsidRDefault="00E950E4" w:rsidP="00E950E4">
      <w:pPr>
        <w:pStyle w:val="a3"/>
        <w:spacing w:before="0" w:beforeAutospacing="0" w:after="160" w:afterAutospacing="0" w:line="480" w:lineRule="auto"/>
      </w:pPr>
      <w:r>
        <w:rPr>
          <w:b/>
          <w:bCs/>
          <w:color w:val="000000"/>
          <w:sz w:val="40"/>
          <w:szCs w:val="40"/>
        </w:rPr>
        <w:t xml:space="preserve">Family (micro) Conflicts and Differences, and the Extended Family’s (meso) Reaction, Community </w:t>
      </w:r>
      <w:r>
        <w:rPr>
          <w:b/>
          <w:bCs/>
          <w:color w:val="000000"/>
          <w:sz w:val="40"/>
          <w:szCs w:val="40"/>
        </w:rPr>
        <w:lastRenderedPageBreak/>
        <w:t>Resources (macro) that Support Ella's Needs for Care, and The Ability of the Community Resources to Meet the Family’s Needs</w:t>
      </w:r>
    </w:p>
    <w:p w14:paraId="3C61B3EA" w14:textId="77777777" w:rsidR="00E950E4" w:rsidRDefault="00E950E4" w:rsidP="00E950E4">
      <w:pPr>
        <w:pStyle w:val="a3"/>
        <w:spacing w:before="0" w:beforeAutospacing="0" w:after="160" w:afterAutospacing="0" w:line="480" w:lineRule="auto"/>
        <w:ind w:firstLine="720"/>
      </w:pPr>
      <w:r>
        <w:rPr>
          <w:color w:val="000000"/>
        </w:rPr>
        <w:t>Conflicts are bound to emerge due to Ella’s choice to stick to the alternative medicines and not conforming to the western medicine in the end days. As such, the need for the family to put aside their pride and let Ella live her last days as she wants will be evident at the micro level. Consequently, with the backing of the husband, the hiring of a home nurse at the micro level will be evident whose role will be to provide the necessary care. On the other hand, at the meso level, it is fundamental to comprehend that the neighborhood coupled with extended family will have to ensure that provision of best care prevails (Haliko et al., 2017). Nonetheless, the extended family will exude conflict of ideas on how the care should prevail. John as the husband may opt for home care through the traditional practices. Maldonado as a family friend and business associate may be of the need for western practices such as the provision of comprehensive management programs that are offered in the hospitals.  Lastly, regarding the macro level, it is critical to examine aspects such as lobbying which is influential in the treatment process. From the analysis of Ella, the prospect of lobbying should be through her husband. As well, it should entail the adoption of a comprehensive initiative in which the State changes the manner in which hospitals offer their services to the terminally ill. John as the husband should depend on the adoption of a distinctive approach to the development of policies that reduce the costs of health insurance and the various approaches adopted for the palliative care process. </w:t>
      </w:r>
    </w:p>
    <w:p w14:paraId="0B3FDC6C" w14:textId="77777777" w:rsidR="00E950E4" w:rsidRDefault="00E950E4" w:rsidP="00E950E4">
      <w:pPr>
        <w:pStyle w:val="a3"/>
        <w:spacing w:before="0" w:beforeAutospacing="0" w:after="160" w:afterAutospacing="0" w:line="480" w:lineRule="auto"/>
      </w:pPr>
      <w:r>
        <w:rPr>
          <w:b/>
          <w:bCs/>
          <w:color w:val="000000"/>
        </w:rPr>
        <w:t> </w:t>
      </w:r>
      <w:r>
        <w:rPr>
          <w:b/>
          <w:bCs/>
          <w:color w:val="000000"/>
          <w:sz w:val="40"/>
          <w:szCs w:val="40"/>
        </w:rPr>
        <w:t>Medical Issues and the Advantages and Disadvantages of Hospital versus Home</w:t>
      </w:r>
    </w:p>
    <w:p w14:paraId="2BF7C87E" w14:textId="77777777" w:rsidR="00E950E4" w:rsidRDefault="00E950E4" w:rsidP="00E950E4">
      <w:pPr>
        <w:pStyle w:val="a3"/>
        <w:spacing w:before="0" w:beforeAutospacing="0" w:after="160" w:afterAutospacing="0" w:line="480" w:lineRule="auto"/>
      </w:pPr>
      <w:r>
        <w:rPr>
          <w:rStyle w:val="apple-tab-span"/>
          <w:color w:val="000000"/>
        </w:rPr>
        <w:lastRenderedPageBreak/>
        <w:tab/>
      </w:r>
      <w:r>
        <w:rPr>
          <w:color w:val="000000"/>
        </w:rPr>
        <w:t>The emphasis on medical issues related to Ella in her choice for opting for CAM in her treatment process is an issue of concern specifically, in her access to hospital care. Therefore, it will be critical for the family to re-examine the hospital care as an option. Nonetheless, the focus on hospital care presents various advantages and disadvantages for the family. </w:t>
      </w:r>
    </w:p>
    <w:p w14:paraId="5BD35886"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Opting for the hospital presents Ella with the option of accessing the latest technology in managing her health state. According to </w:t>
      </w:r>
      <w:r>
        <w:rPr>
          <w:color w:val="222222"/>
          <w:shd w:val="clear" w:color="auto" w:fill="FFFFFF"/>
        </w:rPr>
        <w:t xml:space="preserve">McClain, Rosenfield &amp; Breitbart, (2003), </w:t>
      </w:r>
      <w:r>
        <w:rPr>
          <w:color w:val="000000"/>
        </w:rPr>
        <w:t>hospital care at the end of life translate into accessibility to experts 24 hours a day, constant monitoring coupled with immediate treatment. The level of care and attention that Ella can access at the hospital is higher than that at home which ensures that any side effects are handled immediately. </w:t>
      </w:r>
    </w:p>
    <w:p w14:paraId="55F7E2D9"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Further, her family can benefit from the social support. Social support emanates from the neighborhood or community offering comfort to Ella and her family during the times of financial and emotional strain. As well, the prospect that the family will generate closeness through the hospital care will ensure that their bond and any quarrels are dealt with accordingly. The hospital environment will translate into an avenue whereby family ties close or not are re-evaluated. </w:t>
      </w:r>
    </w:p>
    <w:p w14:paraId="21C67454"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On the other hand, the financial strain on the family is a potential disadvantage of the hospital option.  It will cost less to keep Ella at home as compared to the hospital. Further, it is necessary to appreciate that home healthcare professionals are effective in the provision of holistic services to the individuals who are discharged from the hospital. As such, the home healthcare professionals make an emphasis on provision of the utmost effective medical services throughout their recovery period; </w:t>
      </w:r>
    </w:p>
    <w:p w14:paraId="556977A8"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It is equally essential to comprehend that Ella in opting for hospital care will not be accustomed to the privacy that home care provides. As such, home care, as opposed to the hospital care option, would allow her to recover in the security coupled with the comfort of her home. As well, home care translates into individualized care. As per Ventola, (2010), individualized care translates into meeting the necessary needs that Ella requires at her state. Of </w:t>
      </w:r>
      <w:r>
        <w:rPr>
          <w:color w:val="000000"/>
        </w:rPr>
        <w:lastRenderedPageBreak/>
        <w:t>utmost importance is the prospect that coordination of services along with family support are at the core of receiving home as opposed to hospital care. </w:t>
      </w:r>
    </w:p>
    <w:p w14:paraId="4A204A43" w14:textId="77777777" w:rsidR="00E950E4" w:rsidRDefault="00E950E4" w:rsidP="00E950E4">
      <w:pPr>
        <w:pStyle w:val="a3"/>
        <w:spacing w:before="0" w:beforeAutospacing="0" w:after="160" w:afterAutospacing="0" w:line="480" w:lineRule="auto"/>
      </w:pPr>
      <w:r>
        <w:rPr>
          <w:b/>
          <w:bCs/>
          <w:color w:val="000000"/>
          <w:sz w:val="40"/>
          <w:szCs w:val="40"/>
        </w:rPr>
        <w:t>Psychological and Social Issues Affecting the Family</w:t>
      </w:r>
    </w:p>
    <w:p w14:paraId="53CDCB33"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Recent studies were undertaken by </w:t>
      </w:r>
      <w:r>
        <w:rPr>
          <w:color w:val="222222"/>
          <w:shd w:val="clear" w:color="auto" w:fill="FFFFFF"/>
        </w:rPr>
        <w:t xml:space="preserve">Ventola, (2010) </w:t>
      </w:r>
      <w:r>
        <w:rPr>
          <w:color w:val="000000"/>
        </w:rPr>
        <w:t>reveals that significant emotional trauma prevails both during treatment of a cancer patient and at the end of life period. Of utmost concern is the feeling of helplessness expressed by both the family members and the patient. Of concern is the experience that the family has to endure in seeing Ella at her weakened state which translates into psychological stress especially on John her spouse. </w:t>
      </w:r>
    </w:p>
    <w:p w14:paraId="18F93BB8"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As such, their daughter Lila has been experiencing stress due to her weight coupled with diabetes, and during the stressful time, her condition is bound to worsen. The emotional ramifications on Lila may be extensive, but as compared to her brother, who is alcoholic, the potential for further alcoholism may prevail. Anxiety coupled with depression is two aspects that can be heightened during this medical period that Ella has to grapple with and can easily be shown by her spouse and children. The emotional needs of the spouse and children, as per Ventola, (2010) ought to be managed and exposure to guidance and counseling is a noteworthy initiative. Ensuring that the family deals with their current state correctively in the management of the disruption evident is necessary to sustain a cohesive family without further medical issues. </w:t>
      </w:r>
    </w:p>
    <w:p w14:paraId="2C74D3AB" w14:textId="77777777" w:rsidR="00E950E4" w:rsidRDefault="00E950E4" w:rsidP="00E950E4">
      <w:pPr>
        <w:pStyle w:val="a3"/>
        <w:spacing w:before="0" w:beforeAutospacing="0" w:after="160" w:afterAutospacing="0" w:line="480" w:lineRule="auto"/>
      </w:pPr>
      <w:r>
        <w:rPr>
          <w:b/>
          <w:bCs/>
          <w:color w:val="000000"/>
          <w:sz w:val="40"/>
          <w:szCs w:val="40"/>
        </w:rPr>
        <w:t>Current Scenario as it Pertains to Diversity</w:t>
      </w:r>
    </w:p>
    <w:p w14:paraId="18E90816"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Diversity is evident in the current scenario with the interaction of people with different social-cultural beliefs in regards to medicine or day to day conduct. As well, Ella's family comprises of individuals of both Spanish and Native American heritage whose interaction has translated into social, cultural underpinnings that influence their beliefs, values, and perceptions about medicine </w:t>
      </w:r>
      <w:r>
        <w:rPr>
          <w:color w:val="222222"/>
          <w:shd w:val="clear" w:color="auto" w:fill="FFFFFF"/>
        </w:rPr>
        <w:t>(Armenakis &amp; Kiefer, 2014)</w:t>
      </w:r>
      <w:r>
        <w:rPr>
          <w:color w:val="000000"/>
        </w:rPr>
        <w:t xml:space="preserve">. Further, in the interaction of the two families, </w:t>
      </w:r>
      <w:r>
        <w:rPr>
          <w:color w:val="000000"/>
        </w:rPr>
        <w:lastRenderedPageBreak/>
        <w:t>elements of similarity in culture are evident as compounded by both Ella and John's appreciation of the effectiveness of CAM. It is therefore noteworthy to comprehend that despite the diversity of the two families, the prospect of appreciation of CAM is a unifying factor. Nonetheless, the western medical practices seem to be a divisive factor in their social, cultural underpinning. As well, the prospect that their children subscribe to western medical practices is bound to erode the elements of culture that seemed to be obstructive towards access to treatment for Ella. </w:t>
      </w:r>
    </w:p>
    <w:p w14:paraId="3EE7F9FA" w14:textId="77777777" w:rsidR="00E950E4" w:rsidRDefault="00E950E4" w:rsidP="00E950E4">
      <w:pPr>
        <w:pStyle w:val="a3"/>
        <w:spacing w:before="0" w:beforeAutospacing="0" w:after="160" w:afterAutospacing="0" w:line="480" w:lineRule="auto"/>
      </w:pPr>
      <w:r>
        <w:rPr>
          <w:b/>
          <w:bCs/>
          <w:color w:val="000000"/>
        </w:rPr>
        <w:t> </w:t>
      </w:r>
      <w:r>
        <w:rPr>
          <w:b/>
          <w:bCs/>
          <w:color w:val="000000"/>
          <w:sz w:val="40"/>
          <w:szCs w:val="40"/>
        </w:rPr>
        <w:t>The Impact of Lifespan Development on the Perspectives of the Family Members</w:t>
      </w:r>
    </w:p>
    <w:p w14:paraId="646DB852"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Lifespan development presents an in-depth outlook on the diverse aspects of the lives of Ella’s family. In the previous years, scientists used to emphasize that development was over once one had hit the age of 25 </w:t>
      </w:r>
      <w:r>
        <w:rPr>
          <w:color w:val="222222"/>
          <w:shd w:val="clear" w:color="auto" w:fill="FFFFFF"/>
        </w:rPr>
        <w:t>(Armenakis &amp; Kiefer, 2014)</w:t>
      </w:r>
      <w:r>
        <w:rPr>
          <w:color w:val="000000"/>
        </w:rPr>
        <w:t xml:space="preserve">. Nonetheless, in the contemporary environment, development is life-long and is influenced by various aspects of the day to day environment. Concurrently, Ella’s situation presents an avenue for insight coupled with judgment in regards to Al and Lila. Given their children, the notion of plasticity should prevail in their analysis of the choices that their mother made regarding her health choices </w:t>
      </w:r>
      <w:r>
        <w:rPr>
          <w:color w:val="222222"/>
          <w:shd w:val="clear" w:color="auto" w:fill="FFFFFF"/>
        </w:rPr>
        <w:t>(Armenakis &amp; Kiefer, 2014)</w:t>
      </w:r>
      <w:r>
        <w:rPr>
          <w:color w:val="000000"/>
        </w:rPr>
        <w:t>. Further, it is critical for the children to be in line with the notion that cultural relativity, as an aspect of lifespan development is imperative towards the judgment and understanding of the life choices that their mother made. </w:t>
      </w:r>
    </w:p>
    <w:p w14:paraId="60450D16" w14:textId="77777777" w:rsidR="00E950E4" w:rsidRDefault="00E950E4" w:rsidP="00E950E4">
      <w:pPr>
        <w:pStyle w:val="a3"/>
        <w:spacing w:before="0" w:beforeAutospacing="0" w:after="160" w:afterAutospacing="0" w:line="480" w:lineRule="auto"/>
      </w:pPr>
      <w:r>
        <w:rPr>
          <w:b/>
          <w:bCs/>
          <w:color w:val="000000"/>
          <w:sz w:val="40"/>
          <w:szCs w:val="40"/>
        </w:rPr>
        <w:t>Conclusion</w:t>
      </w:r>
    </w:p>
    <w:p w14:paraId="5413E307" w14:textId="77777777" w:rsidR="00E950E4" w:rsidRDefault="00E950E4" w:rsidP="00E950E4">
      <w:pPr>
        <w:pStyle w:val="a3"/>
        <w:spacing w:before="0" w:beforeAutospacing="0" w:after="160" w:afterAutospacing="0" w:line="480" w:lineRule="auto"/>
      </w:pPr>
      <w:r>
        <w:rPr>
          <w:rStyle w:val="apple-tab-span"/>
          <w:color w:val="000000"/>
        </w:rPr>
        <w:tab/>
      </w:r>
      <w:r>
        <w:rPr>
          <w:color w:val="000000"/>
        </w:rPr>
        <w:t xml:space="preserve">End of life care management is an issue of concern that affects numerous families. From the above analysis, it is evident that Ella is grappling with distinctive choices in the access to healthcare. CAM, traditional rituals or western medical practices are various options that are </w:t>
      </w:r>
      <w:r>
        <w:rPr>
          <w:color w:val="000000"/>
        </w:rPr>
        <w:lastRenderedPageBreak/>
        <w:t>being influenced by the social, economic and cultural environment. As such apart from the immediate family, the notion of outside influence in her decision-making process is evident.  </w:t>
      </w:r>
    </w:p>
    <w:p w14:paraId="19F95BD0" w14:textId="77777777" w:rsidR="00E950E4" w:rsidRDefault="00E950E4" w:rsidP="00E950E4"/>
    <w:p w14:paraId="0E43ECFE" w14:textId="77777777" w:rsidR="00E950E4" w:rsidRDefault="00E950E4" w:rsidP="00E950E4">
      <w:pPr>
        <w:pStyle w:val="a3"/>
        <w:spacing w:before="0" w:beforeAutospacing="0" w:after="160" w:afterAutospacing="0"/>
      </w:pPr>
      <w:r>
        <w:rPr>
          <w:b/>
          <w:bCs/>
          <w:color w:val="000000"/>
          <w:sz w:val="40"/>
          <w:szCs w:val="40"/>
        </w:rPr>
        <w:t>References</w:t>
      </w:r>
    </w:p>
    <w:p w14:paraId="5EE7891D" w14:textId="77777777" w:rsidR="00E950E4" w:rsidRDefault="00E950E4" w:rsidP="00E950E4">
      <w:pPr>
        <w:pStyle w:val="a3"/>
        <w:spacing w:before="0" w:beforeAutospacing="0" w:after="160" w:afterAutospacing="0" w:line="480" w:lineRule="auto"/>
        <w:ind w:firstLine="709"/>
      </w:pPr>
      <w:r>
        <w:rPr>
          <w:color w:val="000000"/>
          <w:shd w:val="clear" w:color="auto" w:fill="FFFFFF"/>
        </w:rPr>
        <w:t xml:space="preserve">Armenakis, A., &amp; Kiefer, C. (2014). </w:t>
      </w:r>
      <w:r>
        <w:rPr>
          <w:i/>
          <w:iCs/>
          <w:color w:val="000000"/>
          <w:shd w:val="clear" w:color="auto" w:fill="FFFFFF"/>
        </w:rPr>
        <w:t>Social &amp; Cultural factors related to health part a: Recognizing the impact</w:t>
      </w:r>
      <w:r>
        <w:rPr>
          <w:color w:val="000000"/>
          <w:shd w:val="clear" w:color="auto" w:fill="FFFFFF"/>
        </w:rPr>
        <w:t xml:space="preserve">. University of California San Francisco and Child Family Health International San Francisco, CA. Retrieved from: </w:t>
      </w:r>
      <w:hyperlink r:id="rId5" w:history="1">
        <w:r>
          <w:rPr>
            <w:rStyle w:val="a4"/>
            <w:color w:val="000000"/>
            <w:shd w:val="clear" w:color="auto" w:fill="FFFFFF"/>
          </w:rPr>
          <w:t>https://www.cugh.org/sites/default/files/13_Social_And_Cultural_Factors_Related_To_Health_Part_A_Recognizing_The_Impact_-_Copy_0.pdf</w:t>
        </w:r>
      </w:hyperlink>
    </w:p>
    <w:p w14:paraId="73840A41" w14:textId="77777777" w:rsidR="00E950E4" w:rsidRDefault="00E950E4" w:rsidP="00E950E4">
      <w:pPr>
        <w:pStyle w:val="a3"/>
        <w:spacing w:before="0" w:beforeAutospacing="0" w:after="160" w:afterAutospacing="0" w:line="480" w:lineRule="auto"/>
        <w:ind w:firstLine="709"/>
      </w:pPr>
      <w:r>
        <w:rPr>
          <w:color w:val="000000"/>
          <w:shd w:val="clear" w:color="auto" w:fill="FFFFFF"/>
        </w:rPr>
        <w:t>Broom, A., &amp; Kirby, E. (2013). The end of life and the family: Hospice patients’ views on dying as relational. </w:t>
      </w:r>
      <w:r>
        <w:rPr>
          <w:i/>
          <w:iCs/>
          <w:color w:val="000000"/>
          <w:shd w:val="clear" w:color="auto" w:fill="FFFFFF"/>
        </w:rPr>
        <w:t>Sociology of Health &amp; Illness</w:t>
      </w:r>
      <w:r>
        <w:rPr>
          <w:color w:val="000000"/>
          <w:shd w:val="clear" w:color="auto" w:fill="FFFFFF"/>
        </w:rPr>
        <w:t>, </w:t>
      </w:r>
      <w:r>
        <w:rPr>
          <w:i/>
          <w:iCs/>
          <w:color w:val="000000"/>
          <w:shd w:val="clear" w:color="auto" w:fill="FFFFFF"/>
        </w:rPr>
        <w:t>35</w:t>
      </w:r>
      <w:r>
        <w:rPr>
          <w:color w:val="000000"/>
          <w:shd w:val="clear" w:color="auto" w:fill="FFFFFF"/>
        </w:rPr>
        <w:t xml:space="preserve">(4), 499-513. Retrieved from: </w:t>
      </w:r>
      <w:hyperlink r:id="rId6" w:history="1">
        <w:r>
          <w:rPr>
            <w:rStyle w:val="a4"/>
            <w:color w:val="000000"/>
            <w:shd w:val="clear" w:color="auto" w:fill="FFFFFF"/>
          </w:rPr>
          <w:t>http://onlinelibrary.wiley.com/doi/10.1111/j.1467-9566.2012.01497.x/full</w:t>
        </w:r>
      </w:hyperlink>
    </w:p>
    <w:p w14:paraId="2B8A4EF5" w14:textId="77777777" w:rsidR="00E950E4" w:rsidRDefault="00E950E4" w:rsidP="00E950E4">
      <w:pPr>
        <w:pStyle w:val="a3"/>
        <w:spacing w:before="0" w:beforeAutospacing="0" w:after="160" w:afterAutospacing="0" w:line="480" w:lineRule="auto"/>
        <w:ind w:firstLine="709"/>
      </w:pPr>
      <w:r>
        <w:rPr>
          <w:color w:val="000000"/>
          <w:shd w:val="clear" w:color="auto" w:fill="FFFFFF"/>
        </w:rPr>
        <w:t>Haliko, S., Downs, J., Mohan, D., Arnold, R., &amp; Barnato, A. E. (2017). Hospital-based physicians’ intubation decisions and associated mental models when managing a critically and terminally ill older patient. </w:t>
      </w:r>
      <w:r>
        <w:rPr>
          <w:i/>
          <w:iCs/>
          <w:color w:val="000000"/>
          <w:shd w:val="clear" w:color="auto" w:fill="FFFFFF"/>
        </w:rPr>
        <w:t>Medical Decision Making</w:t>
      </w:r>
      <w:r>
        <w:rPr>
          <w:color w:val="000000"/>
          <w:shd w:val="clear" w:color="auto" w:fill="FFFFFF"/>
        </w:rPr>
        <w:t xml:space="preserve">, 0272989X17738958. Retrieved from: </w:t>
      </w:r>
      <w:hyperlink r:id="rId7" w:history="1">
        <w:r>
          <w:rPr>
            <w:rStyle w:val="a4"/>
            <w:color w:val="000000"/>
            <w:shd w:val="clear" w:color="auto" w:fill="FFFFFF"/>
          </w:rPr>
          <w:t>https://www.ncbi.nlm.nih.gov/pubmed/29166565</w:t>
        </w:r>
      </w:hyperlink>
    </w:p>
    <w:p w14:paraId="7403E3D8" w14:textId="77777777" w:rsidR="00E950E4" w:rsidRDefault="00E950E4" w:rsidP="00E950E4">
      <w:pPr>
        <w:pStyle w:val="a3"/>
        <w:spacing w:before="0" w:beforeAutospacing="0" w:after="160" w:afterAutospacing="0" w:line="480" w:lineRule="auto"/>
        <w:ind w:firstLine="709"/>
      </w:pPr>
      <w:r>
        <w:rPr>
          <w:color w:val="000000"/>
          <w:shd w:val="clear" w:color="auto" w:fill="FFFFFF"/>
        </w:rPr>
        <w:t>McClain, C. S., Rosenfeld, B., &amp; Breitbart, W. (2003). Effect of spiritual well-being on end-of-life despair in terminally-ill cancer patients. </w:t>
      </w:r>
      <w:r>
        <w:rPr>
          <w:i/>
          <w:iCs/>
          <w:color w:val="000000"/>
          <w:shd w:val="clear" w:color="auto" w:fill="FFFFFF"/>
        </w:rPr>
        <w:t>The Lancet</w:t>
      </w:r>
      <w:r>
        <w:rPr>
          <w:color w:val="000000"/>
          <w:shd w:val="clear" w:color="auto" w:fill="FFFFFF"/>
        </w:rPr>
        <w:t>, </w:t>
      </w:r>
      <w:r>
        <w:rPr>
          <w:i/>
          <w:iCs/>
          <w:color w:val="000000"/>
          <w:shd w:val="clear" w:color="auto" w:fill="FFFFFF"/>
        </w:rPr>
        <w:t>361</w:t>
      </w:r>
      <w:r>
        <w:rPr>
          <w:color w:val="000000"/>
          <w:shd w:val="clear" w:color="auto" w:fill="FFFFFF"/>
        </w:rPr>
        <w:t xml:space="preserve">(9369), 1603-1607. Retrieved from: </w:t>
      </w:r>
      <w:hyperlink r:id="rId8" w:history="1">
        <w:r>
          <w:rPr>
            <w:rStyle w:val="a4"/>
            <w:color w:val="000000"/>
            <w:shd w:val="clear" w:color="auto" w:fill="FFFFFF"/>
          </w:rPr>
          <w:t>http://mahashakti.co.uk/wp-content/uploads/2011/09/EndOfLifeDespair.Lancet..pdf</w:t>
        </w:r>
      </w:hyperlink>
    </w:p>
    <w:p w14:paraId="5448C350" w14:textId="77777777" w:rsidR="00E950E4" w:rsidRDefault="00E950E4" w:rsidP="00E950E4">
      <w:pPr>
        <w:pStyle w:val="a3"/>
        <w:spacing w:before="0" w:beforeAutospacing="0" w:after="160" w:afterAutospacing="0" w:line="480" w:lineRule="auto"/>
        <w:ind w:firstLine="709"/>
      </w:pPr>
      <w:r>
        <w:rPr>
          <w:color w:val="000000"/>
          <w:shd w:val="clear" w:color="auto" w:fill="FFFFFF"/>
        </w:rPr>
        <w:t>Ventola, C. L. (2010). Current issues regarding complementary and alternative medicine (CAM) in the United States: part 1: the widespread use of CAM and the need for better-informed health care professionals to provide patient counseling. </w:t>
      </w:r>
      <w:r>
        <w:rPr>
          <w:i/>
          <w:iCs/>
          <w:color w:val="000000"/>
          <w:shd w:val="clear" w:color="auto" w:fill="FFFFFF"/>
        </w:rPr>
        <w:t>Pharmacy and Therapeutics</w:t>
      </w:r>
      <w:r>
        <w:rPr>
          <w:color w:val="000000"/>
          <w:shd w:val="clear" w:color="auto" w:fill="FFFFFF"/>
        </w:rPr>
        <w:t>, </w:t>
      </w:r>
      <w:r>
        <w:rPr>
          <w:i/>
          <w:iCs/>
          <w:color w:val="000000"/>
          <w:shd w:val="clear" w:color="auto" w:fill="FFFFFF"/>
        </w:rPr>
        <w:t>35</w:t>
      </w:r>
      <w:r>
        <w:rPr>
          <w:color w:val="000000"/>
          <w:shd w:val="clear" w:color="auto" w:fill="FFFFFF"/>
        </w:rPr>
        <w:t xml:space="preserve">(8), 461. Retrieved from: </w:t>
      </w:r>
      <w:hyperlink r:id="rId9" w:history="1">
        <w:r>
          <w:rPr>
            <w:rStyle w:val="a4"/>
            <w:color w:val="000000"/>
            <w:shd w:val="clear" w:color="auto" w:fill="FFFFFF"/>
          </w:rPr>
          <w:t>https://www.ncbi.nlm.nih.gov/pmc/articles/PMC2935644/</w:t>
        </w:r>
      </w:hyperlink>
    </w:p>
    <w:p w14:paraId="12E84417" w14:textId="77777777" w:rsidR="00A076DB" w:rsidRPr="00E950E4" w:rsidRDefault="00A076DB" w:rsidP="00E950E4"/>
    <w:sectPr w:rsidR="00A076DB" w:rsidRPr="00E95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4"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5"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9"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0"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1"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2"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3"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4"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5"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6"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7"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1"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2"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3"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5"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6"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7"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7"/>
    <w:lvlOverride w:ilvl="0">
      <w:lvl w:ilvl="0">
        <w:numFmt w:val="lowerLetter"/>
        <w:lvlText w:val="%1."/>
        <w:lvlJc w:val="left"/>
      </w:lvl>
    </w:lvlOverride>
  </w:num>
  <w:num w:numId="2">
    <w:abstractNumId w:val="25"/>
  </w:num>
  <w:num w:numId="3">
    <w:abstractNumId w:val="22"/>
  </w:num>
  <w:num w:numId="4">
    <w:abstractNumId w:val="1"/>
  </w:num>
  <w:num w:numId="5">
    <w:abstractNumId w:val="24"/>
  </w:num>
  <w:num w:numId="6">
    <w:abstractNumId w:val="26"/>
  </w:num>
  <w:num w:numId="7">
    <w:abstractNumId w:val="4"/>
  </w:num>
  <w:num w:numId="8">
    <w:abstractNumId w:val="11"/>
  </w:num>
  <w:num w:numId="9">
    <w:abstractNumId w:val="13"/>
  </w:num>
  <w:num w:numId="10">
    <w:abstractNumId w:val="0"/>
  </w:num>
  <w:num w:numId="11">
    <w:abstractNumId w:val="12"/>
  </w:num>
  <w:num w:numId="12">
    <w:abstractNumId w:val="23"/>
    <w:lvlOverride w:ilvl="0">
      <w:lvl w:ilvl="0">
        <w:numFmt w:val="lowerLetter"/>
        <w:lvlText w:val="%1."/>
        <w:lvlJc w:val="left"/>
      </w:lvl>
    </w:lvlOverride>
  </w:num>
  <w:num w:numId="13">
    <w:abstractNumId w:val="14"/>
  </w:num>
  <w:num w:numId="14">
    <w:abstractNumId w:val="3"/>
  </w:num>
  <w:num w:numId="15">
    <w:abstractNumId w:val="10"/>
  </w:num>
  <w:num w:numId="16">
    <w:abstractNumId w:val="8"/>
  </w:num>
  <w:num w:numId="17">
    <w:abstractNumId w:val="16"/>
  </w:num>
  <w:num w:numId="18">
    <w:abstractNumId w:val="20"/>
  </w:num>
  <w:num w:numId="19">
    <w:abstractNumId w:val="15"/>
  </w:num>
  <w:num w:numId="20">
    <w:abstractNumId w:val="21"/>
  </w:num>
  <w:num w:numId="21">
    <w:abstractNumId w:val="27"/>
  </w:num>
  <w:num w:numId="22">
    <w:abstractNumId w:val="9"/>
  </w:num>
  <w:num w:numId="23">
    <w:abstractNumId w:val="7"/>
  </w:num>
  <w:num w:numId="24">
    <w:abstractNumId w:val="18"/>
    <w:lvlOverride w:ilvl="0">
      <w:lvl w:ilvl="0">
        <w:numFmt w:val="lowerLetter"/>
        <w:lvlText w:val="%1."/>
        <w:lvlJc w:val="left"/>
      </w:lvl>
    </w:lvlOverride>
  </w:num>
  <w:num w:numId="25">
    <w:abstractNumId w:val="2"/>
    <w:lvlOverride w:ilvl="0">
      <w:lvl w:ilvl="0">
        <w:numFmt w:val="decimal"/>
        <w:lvlText w:val="%1."/>
        <w:lvlJc w:val="left"/>
      </w:lvl>
    </w:lvlOverride>
  </w:num>
  <w:num w:numId="26">
    <w:abstractNumId w:val="6"/>
    <w:lvlOverride w:ilvl="0">
      <w:lvl w:ilvl="0">
        <w:numFmt w:val="lowerLetter"/>
        <w:lvlText w:val="%1."/>
        <w:lvlJc w:val="left"/>
      </w:lvl>
    </w:lvlOverride>
  </w:num>
  <w:num w:numId="27">
    <w:abstractNumId w:val="5"/>
    <w:lvlOverride w:ilvl="0">
      <w:lvl w:ilvl="0">
        <w:numFmt w:val="decimal"/>
        <w:lvlText w:val="%1."/>
        <w:lvlJc w:val="left"/>
      </w:lvl>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B224C"/>
    <w:rsid w:val="001F1732"/>
    <w:rsid w:val="00233090"/>
    <w:rsid w:val="00243A19"/>
    <w:rsid w:val="008540B9"/>
    <w:rsid w:val="00876272"/>
    <w:rsid w:val="00920C93"/>
    <w:rsid w:val="009523C7"/>
    <w:rsid w:val="009A14AC"/>
    <w:rsid w:val="009E5550"/>
    <w:rsid w:val="00A076DB"/>
    <w:rsid w:val="00C868E0"/>
    <w:rsid w:val="00E950E4"/>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hashakti.co.uk/wp-content/uploads/2011/09/EndOfLifeDespair.Lancet..pdf" TargetMode="External"/><Relationship Id="rId3" Type="http://schemas.openxmlformats.org/officeDocument/2006/relationships/settings" Target="settings.xml"/><Relationship Id="rId7" Type="http://schemas.openxmlformats.org/officeDocument/2006/relationships/hyperlink" Target="https://www.ncbi.nlm.nih.gov/pubmed/291665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library.wiley.com/doi/10.1111/j.1467-9566.2012.01497.x/full" TargetMode="External"/><Relationship Id="rId11" Type="http://schemas.openxmlformats.org/officeDocument/2006/relationships/theme" Target="theme/theme1.xml"/><Relationship Id="rId5" Type="http://schemas.openxmlformats.org/officeDocument/2006/relationships/hyperlink" Target="https://www.cugh.org/sites/default/files/13_Social_And_Cultural_Factors_Related_To_Health_Part_A_Recognizing_The_Impact_-_Copy_0.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2935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2972</Words>
  <Characters>16945</Characters>
  <Application>Microsoft Office Word</Application>
  <DocSecurity>0</DocSecurity>
  <Lines>141</Lines>
  <Paragraphs>39</Paragraphs>
  <ScaleCrop>false</ScaleCrop>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15</cp:revision>
  <dcterms:created xsi:type="dcterms:W3CDTF">2022-11-15T11:41:00Z</dcterms:created>
  <dcterms:modified xsi:type="dcterms:W3CDTF">2022-11-15T13:33:00Z</dcterms:modified>
</cp:coreProperties>
</file>