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47E47A" w14:textId="77777777" w:rsidR="000C5348" w:rsidRDefault="000C5348" w:rsidP="000C5348">
      <w:pPr>
        <w:pStyle w:val="a3"/>
        <w:spacing w:before="0" w:beforeAutospacing="0" w:after="0" w:afterAutospacing="0" w:line="480" w:lineRule="auto"/>
        <w:jc w:val="center"/>
      </w:pPr>
      <w:r>
        <w:rPr>
          <w:b/>
          <w:bCs/>
          <w:color w:val="000000"/>
          <w:sz w:val="48"/>
          <w:szCs w:val="48"/>
        </w:rPr>
        <w:t>Human Existence Universal Energy Model and Theory</w:t>
      </w:r>
    </w:p>
    <w:p w14:paraId="4214EF91" w14:textId="77777777" w:rsidR="000C5348" w:rsidRDefault="000C5348" w:rsidP="000C5348">
      <w:pPr>
        <w:pStyle w:val="a3"/>
        <w:spacing w:before="0" w:beforeAutospacing="0" w:after="160" w:afterAutospacing="0" w:line="480" w:lineRule="auto"/>
      </w:pPr>
      <w:r>
        <w:rPr>
          <w:b/>
          <w:bCs/>
          <w:color w:val="000000"/>
          <w:sz w:val="40"/>
          <w:szCs w:val="40"/>
        </w:rPr>
        <w:t>Concept of the Pattern for Each Theorist Discussed in the Chapter</w:t>
      </w:r>
    </w:p>
    <w:p w14:paraId="38375FF3" w14:textId="77777777" w:rsidR="000C5348" w:rsidRDefault="000C5348" w:rsidP="000C5348">
      <w:pPr>
        <w:pStyle w:val="a3"/>
        <w:spacing w:before="0" w:beforeAutospacing="0" w:after="160" w:afterAutospacing="0" w:line="480" w:lineRule="auto"/>
        <w:ind w:firstLine="720"/>
      </w:pPr>
      <w:r>
        <w:rPr>
          <w:i/>
          <w:iCs/>
          <w:color w:val="000000"/>
        </w:rPr>
        <w:t>Roger’s Science of Unitary Human Beings</w:t>
      </w:r>
      <w:r>
        <w:rPr>
          <w:color w:val="000000"/>
        </w:rPr>
        <w:t xml:space="preserve">: it illustrates </w:t>
      </w:r>
      <w:r>
        <w:rPr>
          <w:i/>
          <w:iCs/>
          <w:color w:val="000000"/>
        </w:rPr>
        <w:t>the</w:t>
      </w:r>
      <w:r>
        <w:rPr>
          <w:color w:val="000000"/>
        </w:rPr>
        <w:t xml:space="preserve"> </w:t>
      </w:r>
      <w:r>
        <w:rPr>
          <w:i/>
          <w:iCs/>
          <w:color w:val="000000"/>
        </w:rPr>
        <w:t>concept</w:t>
      </w:r>
      <w:r>
        <w:rPr>
          <w:color w:val="000000"/>
        </w:rPr>
        <w:t xml:space="preserve"> associated </w:t>
      </w:r>
      <w:r>
        <w:rPr>
          <w:i/>
          <w:iCs/>
          <w:color w:val="000000"/>
        </w:rPr>
        <w:t>with the</w:t>
      </w:r>
      <w:r>
        <w:rPr>
          <w:color w:val="000000"/>
        </w:rPr>
        <w:t xml:space="preserve"> energy flow, which </w:t>
      </w:r>
      <w:r>
        <w:rPr>
          <w:i/>
          <w:iCs/>
          <w:color w:val="000000"/>
        </w:rPr>
        <w:t>is</w:t>
      </w:r>
      <w:r>
        <w:rPr>
          <w:color w:val="000000"/>
        </w:rPr>
        <w:t xml:space="preserve"> subject to the field of patterning. The principle describes a mutual patterning of the field, which is exhibited as unpredictable (Malinski, 2013). </w:t>
      </w:r>
    </w:p>
    <w:p w14:paraId="3F68B1B0" w14:textId="77777777" w:rsidR="000C5348" w:rsidRDefault="000C5348" w:rsidP="000C5348">
      <w:pPr>
        <w:pStyle w:val="a3"/>
        <w:spacing w:before="0" w:beforeAutospacing="0" w:after="160" w:afterAutospacing="0" w:line="480" w:lineRule="auto"/>
        <w:ind w:firstLine="720"/>
      </w:pPr>
      <w:r>
        <w:rPr>
          <w:color w:val="000000"/>
        </w:rPr>
        <w:t xml:space="preserve">The concept of </w:t>
      </w:r>
      <w:r>
        <w:rPr>
          <w:i/>
          <w:iCs/>
          <w:color w:val="000000"/>
        </w:rPr>
        <w:t>Barrett’s Power</w:t>
      </w:r>
      <w:r>
        <w:rPr>
          <w:color w:val="000000"/>
        </w:rPr>
        <w:t xml:space="preserve"> Associated with </w:t>
      </w:r>
      <w:r>
        <w:rPr>
          <w:i/>
          <w:iCs/>
          <w:color w:val="000000"/>
        </w:rPr>
        <w:t>Knowing Participation</w:t>
      </w:r>
      <w:r>
        <w:rPr>
          <w:color w:val="000000"/>
        </w:rPr>
        <w:t xml:space="preserve"> in Change: Barrett's supports Rogers's science but includes human involvement in the evolution. Believes their participation is power, which involves becoming aware of the choice made, and being free to be part of the choices deliberately (Malinski, 2013).</w:t>
      </w:r>
    </w:p>
    <w:p w14:paraId="2E75808F" w14:textId="77777777" w:rsidR="000C5348" w:rsidRDefault="000C5348" w:rsidP="000C5348">
      <w:pPr>
        <w:pStyle w:val="a3"/>
        <w:spacing w:before="0" w:beforeAutospacing="0" w:after="160" w:afterAutospacing="0" w:line="480" w:lineRule="auto"/>
        <w:ind w:firstLine="720"/>
      </w:pPr>
      <w:r>
        <w:rPr>
          <w:color w:val="000000"/>
        </w:rPr>
        <w:t>Cowling pattern appreciation method: the strategy supported the ten constituents in the Rogerian practice as well as knowing participation in the change of health pattern (Malinski, 2013). </w:t>
      </w:r>
    </w:p>
    <w:p w14:paraId="6CD1BCB2" w14:textId="77777777" w:rsidR="000C5348" w:rsidRDefault="000C5348" w:rsidP="000C5348">
      <w:pPr>
        <w:pStyle w:val="a3"/>
        <w:spacing w:before="0" w:beforeAutospacing="0" w:after="160" w:afterAutospacing="0" w:line="480" w:lineRule="auto"/>
        <w:ind w:firstLine="720"/>
      </w:pPr>
      <w:r>
        <w:rPr>
          <w:color w:val="000000"/>
        </w:rPr>
        <w:t>Butcher’s comprehensive practical model: it focuses on nursing care as pattern manifestation recognition, and health promotion, which is suggested to assume a voluntary mutual patterning (Malinski, 2013)</w:t>
      </w:r>
    </w:p>
    <w:p w14:paraId="4540F532" w14:textId="77777777" w:rsidR="000C5348" w:rsidRDefault="000C5348" w:rsidP="000C5348">
      <w:pPr>
        <w:pStyle w:val="a3"/>
        <w:spacing w:before="0" w:beforeAutospacing="0" w:after="160" w:afterAutospacing="0" w:line="480" w:lineRule="auto"/>
      </w:pPr>
      <w:r>
        <w:rPr>
          <w:b/>
          <w:bCs/>
          <w:color w:val="000000"/>
          <w:sz w:val="40"/>
          <w:szCs w:val="40"/>
        </w:rPr>
        <w:t>What is the Importance of Pattern for Advanced Practice Nurses?</w:t>
      </w:r>
    </w:p>
    <w:p w14:paraId="680B54CE" w14:textId="77777777" w:rsidR="000C5348" w:rsidRDefault="000C5348" w:rsidP="000C5348">
      <w:pPr>
        <w:pStyle w:val="a3"/>
        <w:spacing w:before="0" w:beforeAutospacing="0" w:after="160" w:afterAutospacing="0" w:line="480" w:lineRule="auto"/>
        <w:ind w:firstLine="720"/>
      </w:pPr>
      <w:r>
        <w:rPr>
          <w:color w:val="000000"/>
        </w:rPr>
        <w:lastRenderedPageBreak/>
        <w:t xml:space="preserve">According to Woo, Lee, and San Tam (2017), the application of nursing roles toward the advancement of practices during incidences of </w:t>
      </w:r>
      <w:r>
        <w:rPr>
          <w:i/>
          <w:iCs/>
          <w:color w:val="000000"/>
        </w:rPr>
        <w:t>emergency and</w:t>
      </w:r>
      <w:r>
        <w:rPr>
          <w:color w:val="000000"/>
        </w:rPr>
        <w:t xml:space="preserve"> intensive </w:t>
      </w:r>
      <w:r>
        <w:rPr>
          <w:i/>
          <w:iCs/>
          <w:color w:val="000000"/>
        </w:rPr>
        <w:t>care</w:t>
      </w:r>
      <w:r>
        <w:rPr>
          <w:color w:val="000000"/>
        </w:rPr>
        <w:t xml:space="preserve"> setting is associated with the improvement of the patient prognosis. It is believed that </w:t>
      </w:r>
      <w:r>
        <w:rPr>
          <w:i/>
          <w:iCs/>
          <w:color w:val="000000"/>
        </w:rPr>
        <w:t>effective utilization</w:t>
      </w:r>
      <w:r>
        <w:rPr>
          <w:color w:val="000000"/>
        </w:rPr>
        <w:t xml:space="preserve"> of healthcare personnel could ease the pressure and the ever increasing demands from the clients for healthcare services (Woo et al., 2017).</w:t>
      </w:r>
    </w:p>
    <w:p w14:paraId="15C15448" w14:textId="77777777" w:rsidR="000C5348" w:rsidRDefault="000C5348" w:rsidP="000C5348">
      <w:pPr>
        <w:pStyle w:val="a3"/>
        <w:spacing w:before="0" w:beforeAutospacing="0" w:after="160" w:afterAutospacing="0" w:line="480" w:lineRule="auto"/>
      </w:pPr>
      <w:r>
        <w:rPr>
          <w:b/>
          <w:bCs/>
          <w:color w:val="000000"/>
          <w:sz w:val="40"/>
          <w:szCs w:val="40"/>
        </w:rPr>
        <w:t>Applying Advanced Practice Nurses for Rogerian Nursing Science to Enhance Evidence Based Services</w:t>
      </w:r>
    </w:p>
    <w:p w14:paraId="34CB01C8" w14:textId="77777777" w:rsidR="000C5348" w:rsidRDefault="000C5348" w:rsidP="000C5348">
      <w:pPr>
        <w:pStyle w:val="a3"/>
        <w:spacing w:before="0" w:beforeAutospacing="0" w:after="160" w:afterAutospacing="0" w:line="480" w:lineRule="auto"/>
        <w:ind w:firstLine="720"/>
      </w:pPr>
      <w:r>
        <w:rPr>
          <w:color w:val="000000"/>
        </w:rPr>
        <w:t>Professionals choosing to become nurses invest their time to acquire training and establish a close client relationship to ensure their clients receive quality services (Malinski, 2013). Application of Parse's idea by nurses includes respecting the dignity of the client, deliver services that are helpful, and participation in the movement that aims to revolutionalize the profession to assume a patient centered approach as previously illustrated by Hutchings (2002).</w:t>
      </w:r>
    </w:p>
    <w:p w14:paraId="6B103543" w14:textId="77777777" w:rsidR="000C5348" w:rsidRDefault="000C5348" w:rsidP="000C5348">
      <w:pPr>
        <w:pStyle w:val="a3"/>
        <w:spacing w:before="0" w:beforeAutospacing="0" w:after="160" w:afterAutospacing="0" w:line="480" w:lineRule="auto"/>
      </w:pPr>
      <w:r>
        <w:rPr>
          <w:b/>
          <w:bCs/>
          <w:color w:val="000000"/>
          <w:sz w:val="40"/>
          <w:szCs w:val="40"/>
        </w:rPr>
        <w:t>References</w:t>
      </w:r>
    </w:p>
    <w:p w14:paraId="67D842D9" w14:textId="77777777" w:rsidR="000C5348" w:rsidRDefault="000C5348" w:rsidP="000C5348">
      <w:pPr>
        <w:pStyle w:val="a3"/>
        <w:spacing w:before="0" w:beforeAutospacing="0" w:after="0" w:afterAutospacing="0" w:line="480" w:lineRule="auto"/>
        <w:ind w:firstLine="1134"/>
      </w:pPr>
      <w:r>
        <w:rPr>
          <w:color w:val="000000"/>
        </w:rPr>
        <w:t xml:space="preserve">Hutchings, D. (2002). Parallels in practice: Palliative nursing practice and Parse’s theory of human becoming. </w:t>
      </w:r>
      <w:r>
        <w:rPr>
          <w:i/>
          <w:iCs/>
          <w:color w:val="000000"/>
        </w:rPr>
        <w:t>American Journal of Hospice and Palliative Medicine</w:t>
      </w:r>
      <w:r>
        <w:rPr>
          <w:color w:val="000000"/>
        </w:rPr>
        <w:t xml:space="preserve">, </w:t>
      </w:r>
      <w:r>
        <w:rPr>
          <w:i/>
          <w:iCs/>
          <w:color w:val="000000"/>
        </w:rPr>
        <w:t>19</w:t>
      </w:r>
      <w:r>
        <w:rPr>
          <w:color w:val="000000"/>
        </w:rPr>
        <w:t>(6), 408-414.</w:t>
      </w:r>
    </w:p>
    <w:p w14:paraId="6E89743E" w14:textId="77777777" w:rsidR="000C5348" w:rsidRDefault="000C5348" w:rsidP="000C5348">
      <w:pPr>
        <w:pStyle w:val="a3"/>
        <w:spacing w:before="0" w:beforeAutospacing="0" w:after="0" w:afterAutospacing="0" w:line="480" w:lineRule="auto"/>
        <w:ind w:firstLine="1134"/>
      </w:pPr>
      <w:r>
        <w:rPr>
          <w:color w:val="000000"/>
        </w:rPr>
        <w:t xml:space="preserve">Malinski, V. (2013). Models and theories focused on human existence and universal energy. In </w:t>
      </w:r>
      <w:r>
        <w:rPr>
          <w:i/>
          <w:iCs/>
          <w:color w:val="000000"/>
        </w:rPr>
        <w:t>Philosophies and theories for advanced nursing practice</w:t>
      </w:r>
      <w:r>
        <w:rPr>
          <w:color w:val="000000"/>
        </w:rPr>
        <w:t xml:space="preserve"> (pp. 446-480). Jones &amp; Bartlett Learning, Ontario, Canada.</w:t>
      </w:r>
    </w:p>
    <w:p w14:paraId="2A3D6091" w14:textId="77777777" w:rsidR="000C5348" w:rsidRDefault="000C5348" w:rsidP="000C5348">
      <w:pPr>
        <w:pStyle w:val="a3"/>
        <w:spacing w:before="0" w:beforeAutospacing="0" w:after="0" w:afterAutospacing="0" w:line="480" w:lineRule="auto"/>
        <w:ind w:firstLine="1134"/>
      </w:pPr>
      <w:r>
        <w:rPr>
          <w:color w:val="000000"/>
        </w:rPr>
        <w:t xml:space="preserve">Malinski, V. M. (2006). Rogerian science-based nursing theories. </w:t>
      </w:r>
      <w:r>
        <w:rPr>
          <w:i/>
          <w:iCs/>
          <w:color w:val="000000"/>
        </w:rPr>
        <w:t>Nursing Science Quarterly</w:t>
      </w:r>
      <w:r>
        <w:rPr>
          <w:color w:val="000000"/>
        </w:rPr>
        <w:t xml:space="preserve">, </w:t>
      </w:r>
      <w:r>
        <w:rPr>
          <w:i/>
          <w:iCs/>
          <w:color w:val="000000"/>
        </w:rPr>
        <w:t>19</w:t>
      </w:r>
      <w:r>
        <w:rPr>
          <w:color w:val="000000"/>
        </w:rPr>
        <w:t>(1), 7-12.</w:t>
      </w:r>
    </w:p>
    <w:p w14:paraId="0FAE5FD6" w14:textId="77777777" w:rsidR="000C5348" w:rsidRDefault="000C5348" w:rsidP="000C5348">
      <w:pPr>
        <w:pStyle w:val="a3"/>
        <w:spacing w:before="0" w:beforeAutospacing="0" w:after="0" w:afterAutospacing="0" w:line="480" w:lineRule="auto"/>
        <w:ind w:firstLine="1134"/>
      </w:pPr>
      <w:r>
        <w:rPr>
          <w:color w:val="000000"/>
        </w:rPr>
        <w:t xml:space="preserve">Woo, B. F. Y., Lee, J. X. Y., &amp; San Tam, W. W. (2017). The impact of the advanced practice nursing role on quality of care, clinical outcomes, patient satisfaction, and cost in the </w:t>
      </w:r>
      <w:r>
        <w:rPr>
          <w:color w:val="000000"/>
        </w:rPr>
        <w:lastRenderedPageBreak/>
        <w:t xml:space="preserve">emergency and critical care settings: a systematic review. </w:t>
      </w:r>
      <w:r>
        <w:rPr>
          <w:i/>
          <w:iCs/>
          <w:color w:val="000000"/>
        </w:rPr>
        <w:t>Human Resources for Health</w:t>
      </w:r>
      <w:r>
        <w:rPr>
          <w:color w:val="000000"/>
        </w:rPr>
        <w:t xml:space="preserve">, </w:t>
      </w:r>
      <w:r>
        <w:rPr>
          <w:i/>
          <w:iCs/>
          <w:color w:val="000000"/>
        </w:rPr>
        <w:t>15</w:t>
      </w:r>
      <w:r>
        <w:rPr>
          <w:color w:val="000000"/>
        </w:rPr>
        <w:t>(1), 63.</w:t>
      </w:r>
    </w:p>
    <w:p w14:paraId="1976DE10" w14:textId="77777777" w:rsidR="00A02272" w:rsidRDefault="00A02272"/>
    <w:sectPr w:rsidR="00A022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F81"/>
    <w:rsid w:val="000C5348"/>
    <w:rsid w:val="00310F81"/>
    <w:rsid w:val="00A0227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16CCA9-4A42-4369-BD98-1B03DBF63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C5348"/>
    <w:pPr>
      <w:spacing w:before="100" w:beforeAutospacing="1" w:after="100" w:afterAutospacing="1" w:line="240" w:lineRule="auto"/>
    </w:pPr>
    <w:rPr>
      <w:rFonts w:ascii="Times New Roman" w:eastAsia="Times New Roman" w:hAnsi="Times New Roman" w:cs="Times New Roman"/>
      <w:sz w:val="24"/>
      <w:szCs w:val="24"/>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4883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436</Words>
  <Characters>2489</Characters>
  <Application>Microsoft Office Word</Application>
  <DocSecurity>0</DocSecurity>
  <Lines>20</Lines>
  <Paragraphs>5</Paragraphs>
  <ScaleCrop>false</ScaleCrop>
  <Company/>
  <LinksUpToDate>false</LinksUpToDate>
  <CharactersWithSpaces>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Andrii Smail</dc:creator>
  <cp:keywords/>
  <dc:description/>
  <cp:lastModifiedBy>Andrii Smail</cp:lastModifiedBy>
  <cp:revision>3</cp:revision>
  <dcterms:created xsi:type="dcterms:W3CDTF">2023-01-13T14:33:00Z</dcterms:created>
  <dcterms:modified xsi:type="dcterms:W3CDTF">2023-01-13T14:33:00Z</dcterms:modified>
</cp:coreProperties>
</file>