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E07D0" w14:textId="77777777" w:rsidR="009C2D46" w:rsidRDefault="009C2D46" w:rsidP="009C2D46">
      <w:pPr>
        <w:pStyle w:val="a3"/>
        <w:spacing w:before="280" w:beforeAutospacing="0" w:after="280" w:afterAutospacing="0" w:line="480" w:lineRule="auto"/>
        <w:jc w:val="center"/>
      </w:pPr>
      <w:r>
        <w:rPr>
          <w:b/>
          <w:bCs/>
          <w:color w:val="000000"/>
          <w:sz w:val="48"/>
          <w:szCs w:val="48"/>
        </w:rPr>
        <w:t>Theories of Sexual Orientation Tackle Bisexuality</w:t>
      </w:r>
    </w:p>
    <w:p w14:paraId="15DE87F0" w14:textId="77777777" w:rsidR="009C2D46" w:rsidRDefault="009C2D46" w:rsidP="009C2D46">
      <w:pPr>
        <w:pStyle w:val="a3"/>
        <w:spacing w:before="0" w:beforeAutospacing="0" w:after="200" w:afterAutospacing="0" w:line="480" w:lineRule="auto"/>
      </w:pPr>
      <w:r>
        <w:rPr>
          <w:b/>
          <w:bCs/>
          <w:color w:val="000000"/>
          <w:sz w:val="40"/>
          <w:szCs w:val="40"/>
        </w:rPr>
        <w:t>Genetic factors:</w:t>
      </w:r>
    </w:p>
    <w:p w14:paraId="1511BFB5" w14:textId="77777777" w:rsidR="009C2D46" w:rsidRDefault="009C2D46" w:rsidP="009C2D46">
      <w:pPr>
        <w:pStyle w:val="a3"/>
        <w:spacing w:before="0" w:beforeAutospacing="0" w:after="200" w:afterAutospacing="0" w:line="480" w:lineRule="auto"/>
      </w:pPr>
      <w:r>
        <w:rPr>
          <w:color w:val="000000"/>
        </w:rPr>
        <w:t>Bisexuality is a multifaceted trait, affected by numerous genes, sociocultural and experiential factors. These genetic factors intermingle and produce a distinctive configuration of sexual alignment towards the opposite sex</w:t>
      </w:r>
      <w:r>
        <w:rPr>
          <w:color w:val="222222"/>
          <w:shd w:val="clear" w:color="auto" w:fill="FFFFFF"/>
        </w:rPr>
        <w:t xml:space="preserve"> (Storms, 1980).</w:t>
      </w:r>
      <w:r>
        <w:rPr>
          <w:color w:val="000000"/>
        </w:rPr>
        <w:t xml:space="preserve"> Some exclusions exist, such as homosexuality and homosexuality, which seem to be more frequent in males than females. </w:t>
      </w:r>
    </w:p>
    <w:p w14:paraId="64F43B19" w14:textId="77777777" w:rsidR="009C2D46" w:rsidRDefault="009C2D46" w:rsidP="009C2D46">
      <w:pPr>
        <w:pStyle w:val="a3"/>
        <w:spacing w:before="0" w:beforeAutospacing="0" w:after="200" w:afterAutospacing="0" w:line="480" w:lineRule="auto"/>
      </w:pPr>
      <w:r>
        <w:rPr>
          <w:b/>
          <w:bCs/>
          <w:color w:val="000000"/>
          <w:sz w:val="40"/>
          <w:szCs w:val="40"/>
        </w:rPr>
        <w:t>Prenatal factors:</w:t>
      </w:r>
    </w:p>
    <w:p w14:paraId="088C1EB4" w14:textId="77777777" w:rsidR="009C2D46" w:rsidRDefault="009C2D46" w:rsidP="009C2D46">
      <w:pPr>
        <w:pStyle w:val="a3"/>
        <w:spacing w:before="0" w:beforeAutospacing="0" w:after="200" w:afterAutospacing="0" w:line="480" w:lineRule="auto"/>
      </w:pPr>
      <w:r>
        <w:rPr>
          <w:color w:val="000000"/>
        </w:rPr>
        <w:t>Prenatal hormones appear to be the main determinant of adult sexual orientation or biological factors, co-factor with genes and/or social and environmental conditions (Byne &amp; Parsons, 1993). Prenatal theory holds that just like an exposure to particular hormones plays a critical role in fetal sex differentiation. </w:t>
      </w:r>
    </w:p>
    <w:p w14:paraId="02829318" w14:textId="77777777" w:rsidR="009C2D46" w:rsidRDefault="009C2D46" w:rsidP="009C2D46">
      <w:pPr>
        <w:pStyle w:val="a3"/>
        <w:spacing w:before="0" w:beforeAutospacing="0" w:after="200" w:afterAutospacing="0" w:line="480" w:lineRule="auto"/>
      </w:pPr>
      <w:r>
        <w:rPr>
          <w:b/>
          <w:bCs/>
          <w:color w:val="000000"/>
          <w:sz w:val="40"/>
          <w:szCs w:val="40"/>
        </w:rPr>
        <w:t>Brain factors:</w:t>
      </w:r>
    </w:p>
    <w:p w14:paraId="6651BFEE" w14:textId="77777777" w:rsidR="009C2D46" w:rsidRDefault="009C2D46" w:rsidP="009C2D46">
      <w:pPr>
        <w:pStyle w:val="a3"/>
        <w:spacing w:before="0" w:beforeAutospacing="0" w:after="200" w:afterAutospacing="0" w:line="480" w:lineRule="auto"/>
      </w:pPr>
      <w:r>
        <w:rPr>
          <w:color w:val="000000"/>
        </w:rPr>
        <w:t>The human brain is sexually dimorphic.  The theory indicates that there is a relationship between brain and sexually-oriented dimorphism (Storms, 1980). Factually, these areas of hypothalamus and dimorphism have indicated a link to male sexual behavior.</w:t>
      </w:r>
    </w:p>
    <w:p w14:paraId="693D00DA" w14:textId="77777777" w:rsidR="009C2D46" w:rsidRDefault="009C2D46" w:rsidP="009C2D46">
      <w:pPr>
        <w:pStyle w:val="a3"/>
        <w:spacing w:before="0" w:beforeAutospacing="0" w:after="200" w:afterAutospacing="0" w:line="480" w:lineRule="auto"/>
      </w:pPr>
      <w:r>
        <w:rPr>
          <w:b/>
          <w:bCs/>
          <w:color w:val="000000"/>
          <w:sz w:val="40"/>
          <w:szCs w:val="40"/>
        </w:rPr>
        <w:t>Hormonal imbalance:</w:t>
      </w:r>
    </w:p>
    <w:p w14:paraId="6456918C" w14:textId="77777777" w:rsidR="009C2D46" w:rsidRDefault="009C2D46" w:rsidP="009C2D46">
      <w:pPr>
        <w:pStyle w:val="a3"/>
        <w:spacing w:before="0" w:beforeAutospacing="0" w:after="200" w:afterAutospacing="0" w:line="480" w:lineRule="auto"/>
      </w:pPr>
      <w:r>
        <w:rPr>
          <w:color w:val="000000"/>
        </w:rPr>
        <w:lastRenderedPageBreak/>
        <w:t>Bisexual is influenced by subcultural, cultural and cognitive variables in interaction, leading to many types of homosexuals, bisexuals, and heterosexuals. These difference exist in different groups that account for variation in sexual orientations in people. </w:t>
      </w:r>
    </w:p>
    <w:p w14:paraId="681A8658" w14:textId="77777777" w:rsidR="009C2D46" w:rsidRDefault="009C2D46" w:rsidP="009C2D46">
      <w:pPr>
        <w:pStyle w:val="a3"/>
        <w:spacing w:before="0" w:beforeAutospacing="0" w:after="200" w:afterAutospacing="0" w:line="480" w:lineRule="auto"/>
      </w:pPr>
      <w:r>
        <w:rPr>
          <w:b/>
          <w:bCs/>
          <w:color w:val="000000"/>
          <w:sz w:val="40"/>
          <w:szCs w:val="40"/>
        </w:rPr>
        <w:t> Freudian theory:</w:t>
      </w:r>
    </w:p>
    <w:p w14:paraId="5CA0B9AE" w14:textId="77777777" w:rsidR="009C2D46" w:rsidRDefault="009C2D46" w:rsidP="009C2D46">
      <w:pPr>
        <w:pStyle w:val="a3"/>
        <w:spacing w:before="0" w:beforeAutospacing="0" w:after="200" w:afterAutospacing="0" w:line="480" w:lineRule="auto"/>
      </w:pPr>
      <w:r>
        <w:rPr>
          <w:color w:val="000000"/>
        </w:rPr>
        <w:t>The views of Freudian have been defined as deterministic. Freud believes that human beings are born with unfocused sexual libido drives and hence contended homosexuality may be a deviation from this. </w:t>
      </w:r>
    </w:p>
    <w:p w14:paraId="1D002EA4" w14:textId="77777777" w:rsidR="009C2D46" w:rsidRDefault="009C2D46" w:rsidP="009C2D46">
      <w:pPr>
        <w:pStyle w:val="a3"/>
        <w:spacing w:before="0" w:beforeAutospacing="0" w:after="200" w:afterAutospacing="0" w:line="480" w:lineRule="auto"/>
      </w:pPr>
      <w:r>
        <w:rPr>
          <w:b/>
          <w:bCs/>
          <w:color w:val="000000"/>
          <w:sz w:val="40"/>
          <w:szCs w:val="40"/>
        </w:rPr>
        <w:t>Learning theory:</w:t>
      </w:r>
    </w:p>
    <w:p w14:paraId="2B0A08AB" w14:textId="77777777" w:rsidR="009C2D46" w:rsidRDefault="009C2D46" w:rsidP="009C2D46">
      <w:pPr>
        <w:pStyle w:val="a3"/>
        <w:spacing w:before="0" w:beforeAutospacing="0" w:after="200" w:afterAutospacing="0" w:line="480" w:lineRule="auto"/>
      </w:pPr>
      <w:r>
        <w:rPr>
          <w:color w:val="000000"/>
        </w:rPr>
        <w:t>Learning theory provides an elucidation why kids who display such homosexual behaviors are likely to later identify in this way.  The theory highlights that girls and boys who display these behaviors are labeled as tomboys or sissies, terms which infer they are potentially homosexual (Storms, 1980)</w:t>
      </w:r>
      <w:r>
        <w:rPr>
          <w:color w:val="222222"/>
          <w:shd w:val="clear" w:color="auto" w:fill="FFFFFF"/>
        </w:rPr>
        <w:t>.</w:t>
      </w:r>
      <w:r>
        <w:rPr>
          <w:color w:val="000000"/>
        </w:rPr>
        <w:t> </w:t>
      </w:r>
    </w:p>
    <w:p w14:paraId="3AFB5FB7" w14:textId="77777777" w:rsidR="009C2D46" w:rsidRDefault="009C2D46" w:rsidP="009C2D46">
      <w:pPr>
        <w:pStyle w:val="a3"/>
        <w:spacing w:before="0" w:beforeAutospacing="0" w:after="200" w:afterAutospacing="0" w:line="480" w:lineRule="auto"/>
      </w:pPr>
      <w:r>
        <w:rPr>
          <w:b/>
          <w:bCs/>
          <w:color w:val="000000"/>
          <w:sz w:val="40"/>
          <w:szCs w:val="40"/>
        </w:rPr>
        <w:t> Interactionist theory:</w:t>
      </w:r>
    </w:p>
    <w:p w14:paraId="5893AFEB" w14:textId="77777777" w:rsidR="009C2D46" w:rsidRDefault="009C2D46" w:rsidP="009C2D46">
      <w:pPr>
        <w:pStyle w:val="a3"/>
        <w:spacing w:before="0" w:beforeAutospacing="0" w:after="200" w:afterAutospacing="0" w:line="480" w:lineRule="auto"/>
      </w:pPr>
      <w:r>
        <w:rPr>
          <w:color w:val="000000"/>
        </w:rPr>
        <w:t>This is developmental theories of peer to peer, the theory explains that sex drive of a person starts in adolescence stage. Therefore, the children are likely to be attracted to closest friends either of the same sex. </w:t>
      </w:r>
    </w:p>
    <w:p w14:paraId="34D0AC4E" w14:textId="77777777" w:rsidR="009C2D46" w:rsidRDefault="009C2D46" w:rsidP="009C2D46">
      <w:pPr>
        <w:pStyle w:val="a3"/>
        <w:spacing w:before="0" w:beforeAutospacing="0" w:after="200" w:afterAutospacing="0" w:line="480" w:lineRule="auto"/>
      </w:pPr>
      <w:r>
        <w:rPr>
          <w:b/>
          <w:bCs/>
          <w:color w:val="000000"/>
          <w:sz w:val="40"/>
          <w:szCs w:val="40"/>
        </w:rPr>
        <w:t>Sociological theory:</w:t>
      </w:r>
    </w:p>
    <w:p w14:paraId="446EEF52" w14:textId="77777777" w:rsidR="009C2D46" w:rsidRDefault="009C2D46" w:rsidP="009C2D46">
      <w:pPr>
        <w:pStyle w:val="a3"/>
        <w:spacing w:before="0" w:beforeAutospacing="0" w:after="200" w:afterAutospacing="0" w:line="480" w:lineRule="auto"/>
      </w:pPr>
      <w:r>
        <w:rPr>
          <w:color w:val="000000"/>
        </w:rPr>
        <w:t>This theory explains that gender, sexualities and bisexualities are culturally and historically constructed. The theory explains that societies and cultural set ups affects how individual behave towards same sex</w:t>
      </w:r>
      <w:r>
        <w:rPr>
          <w:color w:val="222222"/>
          <w:shd w:val="clear" w:color="auto" w:fill="FFFFFF"/>
        </w:rPr>
        <w:t xml:space="preserve"> (Byne &amp; Parsons, 1993)</w:t>
      </w:r>
      <w:r>
        <w:rPr>
          <w:color w:val="000000"/>
        </w:rPr>
        <w:t>. </w:t>
      </w:r>
    </w:p>
    <w:p w14:paraId="6EE00576" w14:textId="77777777" w:rsidR="009C2D46" w:rsidRDefault="009C2D46" w:rsidP="009C2D46">
      <w:pPr>
        <w:pStyle w:val="a3"/>
        <w:spacing w:before="0" w:beforeAutospacing="0" w:after="200" w:afterAutospacing="0" w:line="480" w:lineRule="auto"/>
      </w:pPr>
      <w:r>
        <w:rPr>
          <w:b/>
          <w:bCs/>
          <w:color w:val="222222"/>
          <w:sz w:val="40"/>
          <w:szCs w:val="40"/>
          <w:shd w:val="clear" w:color="auto" w:fill="FFFFFF"/>
        </w:rPr>
        <w:lastRenderedPageBreak/>
        <w:t>References</w:t>
      </w:r>
    </w:p>
    <w:p w14:paraId="233E768E" w14:textId="77777777" w:rsidR="009C2D46" w:rsidRDefault="009C2D46" w:rsidP="009C2D46">
      <w:pPr>
        <w:pStyle w:val="a3"/>
        <w:spacing w:before="0" w:beforeAutospacing="0" w:after="200" w:afterAutospacing="0" w:line="480" w:lineRule="auto"/>
        <w:ind w:firstLine="992"/>
      </w:pPr>
      <w:r>
        <w:rPr>
          <w:color w:val="222222"/>
          <w:shd w:val="clear" w:color="auto" w:fill="FFFFFF"/>
        </w:rPr>
        <w:t>Byne, W., &amp; Parsons, B. (1993). Human sexual orientation: The biologic theories reappraised. </w:t>
      </w:r>
      <w:r>
        <w:rPr>
          <w:i/>
          <w:iCs/>
          <w:color w:val="222222"/>
          <w:shd w:val="clear" w:color="auto" w:fill="FFFFFF"/>
        </w:rPr>
        <w:t>Archives of General Psychiatry</w:t>
      </w:r>
      <w:r>
        <w:rPr>
          <w:color w:val="222222"/>
          <w:shd w:val="clear" w:color="auto" w:fill="FFFFFF"/>
        </w:rPr>
        <w:t>, </w:t>
      </w:r>
      <w:r>
        <w:rPr>
          <w:i/>
          <w:iCs/>
          <w:color w:val="222222"/>
          <w:shd w:val="clear" w:color="auto" w:fill="FFFFFF"/>
        </w:rPr>
        <w:t>50</w:t>
      </w:r>
      <w:r>
        <w:rPr>
          <w:color w:val="222222"/>
          <w:shd w:val="clear" w:color="auto" w:fill="FFFFFF"/>
        </w:rPr>
        <w:t>(3), 228-239.</w:t>
      </w:r>
    </w:p>
    <w:p w14:paraId="2E56F4A3" w14:textId="77777777" w:rsidR="009C2D46" w:rsidRDefault="009C2D46" w:rsidP="009C2D46">
      <w:pPr>
        <w:pStyle w:val="a3"/>
        <w:spacing w:before="0" w:beforeAutospacing="0" w:after="200" w:afterAutospacing="0" w:line="480" w:lineRule="auto"/>
        <w:ind w:firstLine="992"/>
      </w:pPr>
      <w:r>
        <w:rPr>
          <w:color w:val="222222"/>
          <w:shd w:val="clear" w:color="auto" w:fill="FFFFFF"/>
        </w:rPr>
        <w:t>Storms, M. D. (1980). Theories of sexual orientation. </w:t>
      </w:r>
      <w:r>
        <w:rPr>
          <w:i/>
          <w:iCs/>
          <w:color w:val="222222"/>
          <w:shd w:val="clear" w:color="auto" w:fill="FFFFFF"/>
        </w:rPr>
        <w:t>Journal of Personality and Social Psychology</w:t>
      </w:r>
      <w:r>
        <w:rPr>
          <w:color w:val="222222"/>
          <w:shd w:val="clear" w:color="auto" w:fill="FFFFFF"/>
        </w:rPr>
        <w:t>, </w:t>
      </w:r>
      <w:r>
        <w:rPr>
          <w:i/>
          <w:iCs/>
          <w:color w:val="222222"/>
          <w:shd w:val="clear" w:color="auto" w:fill="FFFFFF"/>
        </w:rPr>
        <w:t>38</w:t>
      </w:r>
      <w:r>
        <w:rPr>
          <w:color w:val="222222"/>
          <w:shd w:val="clear" w:color="auto" w:fill="FFFFFF"/>
        </w:rPr>
        <w:t>(5), 783.</w:t>
      </w:r>
    </w:p>
    <w:p w14:paraId="4F4408E9" w14:textId="77777777" w:rsidR="00070D3A" w:rsidRDefault="00070D3A"/>
    <w:sectPr w:rsidR="00070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B5"/>
    <w:rsid w:val="00070D3A"/>
    <w:rsid w:val="00167FB5"/>
    <w:rsid w:val="009C2D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92902-30E5-4334-8B43-57FFA3C4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D4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9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2022-12-26T12:00:00Z</dcterms:created>
  <dcterms:modified xsi:type="dcterms:W3CDTF">2022-12-26T12:00:00Z</dcterms:modified>
</cp:coreProperties>
</file>